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关于</w:t>
      </w:r>
      <w:r>
        <w:rPr>
          <w:rFonts w:hint="default" w:ascii="Times New Roman" w:hAnsi="Times New Roman" w:eastAsia="方正小标宋简体" w:cs="Times New Roman"/>
          <w:sz w:val="44"/>
          <w:szCs w:val="44"/>
        </w:rPr>
        <w:t>《威海市儿童福利机构抚养的未成年人</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送养和收养工作规程（征求意见稿）》</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起草说明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一、</w:t>
      </w:r>
      <w:r>
        <w:rPr>
          <w:rFonts w:hint="eastAsia" w:ascii="Times New Roman" w:hAnsi="Times New Roman" w:eastAsia="黑体" w:cs="Times New Roman"/>
          <w:sz w:val="32"/>
          <w:szCs w:val="32"/>
          <w:lang w:eastAsia="zh-CN"/>
        </w:rPr>
        <w:t>制定背景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近年来，</w:t>
      </w:r>
      <w:r>
        <w:rPr>
          <w:rFonts w:hint="default" w:ascii="Times New Roman" w:hAnsi="Times New Roman" w:eastAsia="仿宋_GB2312" w:cs="Times New Roman"/>
          <w:sz w:val="32"/>
          <w:szCs w:val="32"/>
          <w:lang w:val="en-US" w:eastAsia="zh-CN"/>
        </w:rPr>
        <w:t>党中央、国务院始终高度重视儿童福利工作，2025年国务院办公厅《关于进一步加强困境儿童福利保障工作的意见》</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明确提出“完善国家监护制度，依法做好儿童福利机构抚养儿童的安置工作”等要求，为地方规范送养收养工作提供了最新政策遵循。山东省也围绕收养工作出台</w:t>
      </w:r>
      <w:r>
        <w:rPr>
          <w:rFonts w:hint="eastAsia"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en-US" w:eastAsia="zh-CN"/>
        </w:rPr>
        <w:t>《山东省收养评估办法》</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val="en-US" w:eastAsia="zh-CN"/>
        </w:rPr>
        <w:t>政策</w:t>
      </w:r>
      <w:r>
        <w:rPr>
          <w:rFonts w:hint="eastAsia" w:ascii="Times New Roman" w:hAnsi="Times New Roman" w:eastAsia="仿宋_GB2312" w:cs="Times New Roman"/>
          <w:sz w:val="32"/>
          <w:szCs w:val="32"/>
          <w:lang w:val="en-US" w:eastAsia="zh-CN"/>
        </w:rPr>
        <w:t>文件</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同时明确要求各地市要出台相应政策，</w:t>
      </w:r>
      <w:r>
        <w:rPr>
          <w:rFonts w:hint="default" w:ascii="Times New Roman" w:hAnsi="Times New Roman" w:eastAsia="仿宋_GB2312" w:cs="Times New Roman"/>
          <w:sz w:val="32"/>
          <w:szCs w:val="32"/>
          <w:lang w:val="en-US" w:eastAsia="zh-CN"/>
        </w:rPr>
        <w:t>规范儿童福利机构抚养未成年人的送养收养流程。从我市实际来看，当前工作中仍存在流程不统一、操作标准不明确等问题，为全面落实国家和省关于儿童福利工作的决策部署，解决我市工作中的突出问题，市民政局牵头研究制定《威海市儿童福利机构抚养的未成年人送养和收养工作规程》（以下简称《规程》），为全市相关工作开展提供明确指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w:t>
      </w:r>
      <w:r>
        <w:rPr>
          <w:rFonts w:hint="eastAsia" w:ascii="Times New Roman" w:hAnsi="Times New Roman" w:eastAsia="黑体" w:cs="Times New Roman"/>
          <w:sz w:val="32"/>
          <w:szCs w:val="32"/>
          <w:lang w:val="en-US" w:eastAsia="zh-CN"/>
        </w:rPr>
        <w:t>制定</w:t>
      </w:r>
      <w:r>
        <w:rPr>
          <w:rFonts w:hint="default" w:ascii="Times New Roman" w:hAnsi="Times New Roman" w:eastAsia="黑体" w:cs="Times New Roman"/>
          <w:sz w:val="32"/>
          <w:szCs w:val="32"/>
          <w:lang w:val="en-US" w:eastAsia="zh-CN"/>
        </w:rPr>
        <w:t>依据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eastAsia="zh-CN"/>
        </w:rPr>
        <w:t>该文件制定依据为</w:t>
      </w:r>
      <w:r>
        <w:rPr>
          <w:rFonts w:hint="default" w:ascii="Times New Roman" w:hAnsi="Times New Roman" w:eastAsia="仿宋_GB2312" w:cs="Times New Roman"/>
          <w:sz w:val="32"/>
          <w:szCs w:val="32"/>
          <w:lang w:val="en-US" w:eastAsia="zh-CN"/>
        </w:rPr>
        <w:t>《中华人民共和国民法典》《山东省收养评估办法》等法律法规及文件。</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w:t>
      </w:r>
      <w:r>
        <w:rPr>
          <w:rFonts w:hint="eastAsia" w:ascii="Times New Roman" w:hAnsi="Times New Roman" w:eastAsia="黑体" w:cs="Times New Roman"/>
          <w:sz w:val="32"/>
          <w:szCs w:val="32"/>
          <w:lang w:val="en-US" w:eastAsia="zh-CN"/>
        </w:rPr>
        <w:t>制定</w:t>
      </w:r>
      <w:r>
        <w:rPr>
          <w:rFonts w:hint="default" w:ascii="Times New Roman" w:hAnsi="Times New Roman" w:eastAsia="黑体" w:cs="Times New Roman"/>
          <w:sz w:val="32"/>
          <w:szCs w:val="32"/>
          <w:lang w:val="en-US" w:eastAsia="zh-CN"/>
        </w:rPr>
        <w:t>过程</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val="en-US" w:eastAsia="zh-CN"/>
        </w:rPr>
        <w:t>本规程制定之前</w:t>
      </w:r>
      <w:r>
        <w:rPr>
          <w:rFonts w:hint="eastAsia" w:ascii="Times New Roman" w:hAnsi="Times New Roman" w:eastAsia="仿宋_GB2312" w:cs="Times New Roman"/>
          <w:sz w:val="32"/>
          <w:szCs w:val="32"/>
          <w:highlight w:val="yellow"/>
          <w:lang w:val="en-US" w:eastAsia="zh-CN"/>
        </w:rPr>
        <w:t>，市民政局</w:t>
      </w:r>
      <w:r>
        <w:rPr>
          <w:rFonts w:hint="eastAsia" w:ascii="Times New Roman" w:hAnsi="Times New Roman" w:eastAsia="仿宋_GB2312" w:cs="Times New Roman"/>
          <w:sz w:val="32"/>
          <w:szCs w:val="32"/>
          <w:lang w:val="en-US" w:eastAsia="zh-CN"/>
        </w:rPr>
        <w:t>认真研究上级及其他地区有关法律法规文件，并根据我市实际起草该文件，</w:t>
      </w:r>
      <w:r>
        <w:rPr>
          <w:rFonts w:hint="default" w:ascii="Times New Roman" w:hAnsi="Times New Roman" w:eastAsia="仿宋_GB2312" w:cs="Times New Roman"/>
          <w:sz w:val="32"/>
          <w:szCs w:val="32"/>
          <w:lang w:val="en-US" w:eastAsia="zh-CN"/>
        </w:rPr>
        <w:t>该文件已</w:t>
      </w:r>
      <w:r>
        <w:rPr>
          <w:rFonts w:hint="eastAsia" w:ascii="Times New Roman" w:hAnsi="Times New Roman" w:eastAsia="仿宋_GB2312" w:cs="Times New Roman"/>
          <w:sz w:val="32"/>
          <w:szCs w:val="32"/>
          <w:lang w:val="en-US" w:eastAsia="zh-CN"/>
        </w:rPr>
        <w:t>征求有关区市、单位意见</w:t>
      </w:r>
      <w:r>
        <w:rPr>
          <w:rFonts w:hint="default" w:ascii="Times New Roman" w:hAnsi="Times New Roman" w:eastAsia="仿宋_GB2312" w:cs="Times New Roman"/>
          <w:sz w:val="32"/>
          <w:szCs w:val="32"/>
          <w:lang w:val="en-US" w:eastAsia="zh-CN"/>
        </w:rPr>
        <w:t>意见</w:t>
      </w:r>
      <w:r>
        <w:rPr>
          <w:rFonts w:hint="eastAsia" w:ascii="Times New Roman" w:hAnsi="Times New Roman" w:eastAsia="仿宋_GB2312" w:cs="Times New Roman"/>
          <w:sz w:val="32"/>
          <w:szCs w:val="32"/>
          <w:lang w:val="en-US" w:eastAsia="zh-CN"/>
        </w:rPr>
        <w:t>，并经过多次修改完善</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四、制定意义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进一步提升</w:t>
      </w:r>
      <w:r>
        <w:rPr>
          <w:rFonts w:hint="eastAsia" w:ascii="Times New Roman" w:hAnsi="Times New Roman" w:eastAsia="仿宋_GB2312" w:cs="Times New Roman"/>
          <w:sz w:val="32"/>
          <w:szCs w:val="32"/>
          <w:lang w:val="en-US" w:eastAsia="zh-CN"/>
        </w:rPr>
        <w:t>收养送养</w:t>
      </w:r>
      <w:r>
        <w:rPr>
          <w:rFonts w:hint="default" w:ascii="Times New Roman" w:hAnsi="Times New Roman" w:eastAsia="仿宋_GB2312" w:cs="Times New Roman"/>
          <w:sz w:val="32"/>
          <w:szCs w:val="32"/>
          <w:lang w:val="en-US" w:eastAsia="zh-CN"/>
        </w:rPr>
        <w:t>工作的专业性与</w:t>
      </w:r>
      <w:r>
        <w:rPr>
          <w:rFonts w:hint="eastAsia" w:ascii="Times New Roman" w:hAnsi="Times New Roman" w:eastAsia="仿宋_GB2312" w:cs="Times New Roman"/>
          <w:sz w:val="32"/>
          <w:szCs w:val="32"/>
          <w:lang w:val="en-US" w:eastAsia="zh-CN"/>
        </w:rPr>
        <w:t>规范性</w:t>
      </w:r>
      <w:r>
        <w:rPr>
          <w:rFonts w:hint="default" w:ascii="Times New Roman" w:hAnsi="Times New Roman" w:eastAsia="仿宋_GB2312" w:cs="Times New Roman"/>
          <w:sz w:val="32"/>
          <w:szCs w:val="32"/>
          <w:lang w:val="en-US" w:eastAsia="zh-CN"/>
        </w:rPr>
        <w:t>，有效防范工作风险，为未成年人营造更安全、稳定的成长环境，推动威海市儿童福利事业高质量发展。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黑体" w:cs="Times New Roman"/>
          <w:sz w:val="32"/>
          <w:szCs w:val="32"/>
          <w:highlight w:val="yellow"/>
          <w:lang w:eastAsia="zh-CN"/>
        </w:rPr>
      </w:pPr>
      <w:r>
        <w:rPr>
          <w:rFonts w:hint="eastAsia" w:ascii="Times New Roman" w:hAnsi="Times New Roman" w:eastAsia="黑体" w:cs="Times New Roman"/>
          <w:sz w:val="32"/>
          <w:szCs w:val="32"/>
          <w:highlight w:val="yellow"/>
          <w:lang w:eastAsia="zh-CN"/>
        </w:rPr>
        <w:t>五</w:t>
      </w:r>
      <w:r>
        <w:rPr>
          <w:rFonts w:hint="default" w:ascii="Times New Roman" w:hAnsi="Times New Roman" w:eastAsia="黑体" w:cs="Times New Roman"/>
          <w:sz w:val="32"/>
          <w:szCs w:val="32"/>
          <w:highlight w:val="yellow"/>
        </w:rPr>
        <w:t>、主要内容</w:t>
      </w:r>
      <w:r>
        <w:rPr>
          <w:rFonts w:hint="eastAsia" w:ascii="Times New Roman" w:hAnsi="Times New Roman" w:eastAsia="黑体" w:cs="Times New Roman"/>
          <w:sz w:val="32"/>
          <w:szCs w:val="32"/>
          <w:highlight w:val="yellow"/>
          <w:lang w:eastAsia="zh-CN"/>
        </w:rPr>
        <w:t>（已按照自己对文件的理解简单修改，请在专业角度评判修改）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第一部分主要</w:t>
      </w:r>
      <w:r>
        <w:rPr>
          <w:rFonts w:hint="default" w:ascii="Times New Roman" w:hAnsi="Times New Roman" w:eastAsia="仿宋_GB2312" w:cs="Times New Roman"/>
          <w:sz w:val="32"/>
          <w:szCs w:val="32"/>
          <w:highlight w:val="none"/>
          <w:lang w:eastAsia="zh-CN"/>
        </w:rPr>
        <w:t>明确</w:t>
      </w:r>
      <w:r>
        <w:rPr>
          <w:rFonts w:hint="eastAsia" w:ascii="Times New Roman" w:hAnsi="Times New Roman" w:eastAsia="仿宋_GB2312" w:cs="Times New Roman"/>
          <w:sz w:val="32"/>
          <w:szCs w:val="32"/>
          <w:highlight w:val="none"/>
          <w:lang w:eastAsia="zh-CN"/>
        </w:rPr>
        <w:t>政策的</w:t>
      </w:r>
      <w:r>
        <w:rPr>
          <w:rFonts w:hint="default" w:ascii="Times New Roman" w:hAnsi="Times New Roman" w:eastAsia="仿宋_GB2312" w:cs="Times New Roman"/>
          <w:sz w:val="32"/>
          <w:szCs w:val="32"/>
          <w:highlight w:val="none"/>
          <w:lang w:eastAsia="zh-CN"/>
        </w:rPr>
        <w:t>核心适用范围</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color w:val="0000FF"/>
          <w:sz w:val="32"/>
          <w:szCs w:val="32"/>
          <w:highlight w:val="none"/>
          <w:lang w:val="en-US" w:eastAsia="zh-CN"/>
        </w:rPr>
        <w:t>以“最有利于被收养人”为核心原则，</w:t>
      </w:r>
      <w:r>
        <w:rPr>
          <w:rFonts w:hint="eastAsia" w:ascii="Times New Roman" w:hAnsi="Times New Roman" w:eastAsia="仿宋_GB2312" w:cs="Times New Roman"/>
          <w:sz w:val="32"/>
          <w:szCs w:val="32"/>
          <w:highlight w:val="none"/>
          <w:lang w:eastAsia="zh-CN"/>
        </w:rPr>
        <w:t>对</w:t>
      </w:r>
      <w:r>
        <w:rPr>
          <w:rFonts w:hint="default" w:ascii="Times New Roman" w:hAnsi="Times New Roman" w:eastAsia="仿宋_GB2312" w:cs="Times New Roman"/>
          <w:sz w:val="32"/>
          <w:szCs w:val="32"/>
          <w:highlight w:val="none"/>
          <w:lang w:eastAsia="zh-CN"/>
        </w:rPr>
        <w:t>送养对象</w:t>
      </w:r>
      <w:r>
        <w:rPr>
          <w:rFonts w:hint="eastAsia" w:ascii="Times New Roman" w:hAnsi="Times New Roman" w:eastAsia="仿宋_GB2312" w:cs="Times New Roman"/>
          <w:sz w:val="32"/>
          <w:szCs w:val="32"/>
          <w:highlight w:val="none"/>
          <w:lang w:eastAsia="zh-CN"/>
        </w:rPr>
        <w:t>年龄和家庭状况等条件进行了清晰的界定</w:t>
      </w:r>
      <w:r>
        <w:rPr>
          <w:rFonts w:hint="default" w:ascii="Times New Roman" w:hAnsi="Times New Roman" w:eastAsia="仿宋_GB2312" w:cs="Times New Roman"/>
          <w:sz w:val="32"/>
          <w:szCs w:val="32"/>
          <w:highlight w:val="none"/>
          <w:lang w:eastAsia="zh-CN"/>
        </w:rPr>
        <w:t>，确保政策覆</w:t>
      </w:r>
      <w:r>
        <w:rPr>
          <w:rFonts w:hint="default" w:ascii="Times New Roman" w:hAnsi="Times New Roman" w:eastAsia="仿宋_GB2312" w:cs="Times New Roman"/>
          <w:sz w:val="32"/>
          <w:szCs w:val="32"/>
          <w:highlight w:val="none"/>
        </w:rPr>
        <w:t>盖精准无遗漏</w:t>
      </w:r>
      <w:r>
        <w:rPr>
          <w:rFonts w:hint="eastAsia" w:ascii="Times New Roman" w:hAnsi="Times New Roman" w:eastAsia="仿宋_GB2312" w:cs="Times New Roman"/>
          <w:sz w:val="32"/>
          <w:szCs w:val="32"/>
          <w:highlight w:val="none"/>
          <w:lang w:eastAsia="zh-CN"/>
        </w:rPr>
        <w:t>，符合条件的未成年人能得到有效的帮助和关爱</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第二部分细化了</w:t>
      </w:r>
      <w:r>
        <w:rPr>
          <w:rFonts w:hint="default" w:ascii="Times New Roman" w:hAnsi="Times New Roman" w:eastAsia="仿宋_GB2312" w:cs="Times New Roman"/>
          <w:sz w:val="32"/>
          <w:szCs w:val="32"/>
          <w:highlight w:val="none"/>
          <w:lang w:eastAsia="zh-CN"/>
        </w:rPr>
        <w:t>送养</w:t>
      </w:r>
      <w:r>
        <w:rPr>
          <w:rFonts w:hint="eastAsia" w:ascii="Times New Roman" w:hAnsi="Times New Roman" w:eastAsia="仿宋_GB2312" w:cs="Times New Roman"/>
          <w:sz w:val="32"/>
          <w:szCs w:val="32"/>
          <w:highlight w:val="none"/>
          <w:lang w:eastAsia="zh-CN"/>
        </w:rPr>
        <w:t>前</w:t>
      </w:r>
      <w:r>
        <w:rPr>
          <w:rFonts w:hint="default" w:ascii="Times New Roman" w:hAnsi="Times New Roman" w:eastAsia="仿宋_GB2312" w:cs="Times New Roman"/>
          <w:sz w:val="32"/>
          <w:szCs w:val="32"/>
          <w:highlight w:val="none"/>
          <w:lang w:eastAsia="zh-CN"/>
        </w:rPr>
        <w:t>评估</w:t>
      </w:r>
      <w:r>
        <w:rPr>
          <w:rFonts w:hint="eastAsia" w:ascii="Times New Roman" w:hAnsi="Times New Roman" w:eastAsia="仿宋_GB2312" w:cs="Times New Roman"/>
          <w:sz w:val="32"/>
          <w:szCs w:val="32"/>
          <w:highlight w:val="none"/>
          <w:lang w:eastAsia="zh-CN"/>
        </w:rPr>
        <w:t>各个环节。</w:t>
      </w:r>
      <w:r>
        <w:rPr>
          <w:rFonts w:hint="eastAsia" w:ascii="Times New Roman" w:hAnsi="Times New Roman" w:eastAsia="仿宋_GB2312" w:cs="Times New Roman"/>
          <w:sz w:val="32"/>
          <w:szCs w:val="32"/>
          <w:highlight w:val="none"/>
          <w:lang w:val="en-US" w:eastAsia="zh-CN"/>
        </w:rPr>
        <w:t>由于</w:t>
      </w:r>
      <w:r>
        <w:rPr>
          <w:rFonts w:hint="eastAsia" w:ascii="Times New Roman" w:hAnsi="Times New Roman" w:eastAsia="仿宋_GB2312" w:cs="Times New Roman"/>
          <w:sz w:val="32"/>
          <w:szCs w:val="32"/>
          <w:highlight w:val="none"/>
          <w:lang w:eastAsia="zh-CN"/>
        </w:rPr>
        <w:t>未成年人</w:t>
      </w:r>
      <w:r>
        <w:rPr>
          <w:rFonts w:hint="eastAsia" w:ascii="Times New Roman" w:hAnsi="Times New Roman" w:eastAsia="仿宋_GB2312" w:cs="Times New Roman"/>
          <w:sz w:val="32"/>
          <w:szCs w:val="32"/>
          <w:highlight w:val="none"/>
          <w:lang w:val="en-US" w:eastAsia="zh-CN"/>
        </w:rPr>
        <w:t>送养前评估环节多、涉及主体广，</w:t>
      </w:r>
      <w:r>
        <w:rPr>
          <w:rFonts w:hint="eastAsia" w:ascii="Times New Roman" w:hAnsi="Times New Roman" w:eastAsia="仿宋_GB2312" w:cs="Times New Roman"/>
          <w:sz w:val="32"/>
          <w:szCs w:val="32"/>
          <w:highlight w:val="none"/>
          <w:lang w:eastAsia="zh-CN"/>
        </w:rPr>
        <w:t>送养前期评估涉及环节较多，送养人的基本情况需综合检验评估，各类相关材料需要严格认定、审核、公示、存档，</w:t>
      </w:r>
      <w:r>
        <w:rPr>
          <w:rFonts w:hint="default" w:ascii="Times New Roman" w:hAnsi="Times New Roman" w:eastAsia="仿宋_GB2312" w:cs="Times New Roman"/>
          <w:sz w:val="32"/>
          <w:szCs w:val="32"/>
          <w:lang w:val="en-US" w:eastAsia="zh-CN"/>
        </w:rPr>
        <w:t>《规程》</w:t>
      </w:r>
      <w:r>
        <w:rPr>
          <w:rFonts w:hint="eastAsia" w:ascii="Times New Roman" w:hAnsi="Times New Roman" w:eastAsia="仿宋_GB2312" w:cs="Times New Roman"/>
          <w:sz w:val="32"/>
          <w:szCs w:val="32"/>
          <w:lang w:val="en-US" w:eastAsia="zh-CN"/>
        </w:rPr>
        <w:t>在对评估流程、证明材料等方面详细说明的基础上，特别强调</w:t>
      </w:r>
      <w:r>
        <w:rPr>
          <w:rFonts w:hint="eastAsia" w:ascii="Times New Roman" w:hAnsi="Times New Roman" w:eastAsia="仿宋_GB2312" w:cs="Times New Roman"/>
          <w:sz w:val="32"/>
          <w:szCs w:val="32"/>
          <w:highlight w:val="none"/>
          <w:lang w:eastAsia="zh-CN"/>
        </w:rPr>
        <w:t>市儿童福利院在前期评估工作中的工作职责，确保评估工作规范清晰，有据可依。</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lang w:eastAsia="zh-CN"/>
        </w:rPr>
        <w:t>第三部分阐明了收养评估的各项要求。收养人及收养机构的收养能力关系着送养人的一生，收养人是否符合条件及要求必须进行多方面的考察评估。</w:t>
      </w:r>
      <w:r>
        <w:rPr>
          <w:rFonts w:hint="default" w:ascii="Times New Roman" w:hAnsi="Times New Roman" w:eastAsia="仿宋_GB2312" w:cs="Times New Roman"/>
          <w:sz w:val="32"/>
          <w:szCs w:val="32"/>
          <w:lang w:val="en-US" w:eastAsia="zh-CN"/>
        </w:rPr>
        <w:t>《规程》</w:t>
      </w:r>
      <w:r>
        <w:rPr>
          <w:rFonts w:hint="eastAsia" w:ascii="Times New Roman" w:hAnsi="Times New Roman" w:eastAsia="仿宋_GB2312" w:cs="Times New Roman"/>
          <w:sz w:val="32"/>
          <w:szCs w:val="32"/>
          <w:lang w:val="en-US" w:eastAsia="zh-CN"/>
        </w:rPr>
        <w:t>对</w:t>
      </w:r>
      <w:r>
        <w:rPr>
          <w:rFonts w:hint="eastAsia" w:ascii="仿宋_GB2312" w:hAnsi="Calibri" w:eastAsia="仿宋_GB2312" w:cs="仿宋_GB2312"/>
          <w:i w:val="0"/>
          <w:caps w:val="0"/>
          <w:color w:val="262626"/>
          <w:spacing w:val="0"/>
          <w:sz w:val="31"/>
          <w:szCs w:val="31"/>
          <w:shd w:val="clear" w:fill="FFFFFF"/>
          <w:lang w:eastAsia="zh-CN"/>
        </w:rPr>
        <w:t>评估主体的资质和人员组成提出了明确的要求，对收养人的家庭状况、收入能力和社会关系等重要收养条件通过综合调查评估的方式予以判断，同时详细列明需要准备的相关材料。在保证客观条件符合要求的前提下，设置了</w:t>
      </w:r>
      <w:r>
        <w:rPr>
          <w:rFonts w:hint="eastAsia" w:ascii="仿宋_GB2312" w:hAnsi="Times New Roman" w:eastAsia="仿宋_GB2312" w:cs="仿宋_GB2312"/>
          <w:i w:val="0"/>
          <w:caps w:val="0"/>
          <w:color w:val="262626"/>
          <w:spacing w:val="0"/>
          <w:sz w:val="31"/>
          <w:szCs w:val="31"/>
          <w:shd w:val="clear" w:fill="FFFFFF"/>
        </w:rPr>
        <w:t>融合期</w:t>
      </w:r>
      <w:r>
        <w:rPr>
          <w:rFonts w:hint="eastAsia" w:ascii="仿宋_GB2312" w:hAnsi="Times New Roman" w:eastAsia="仿宋_GB2312" w:cs="仿宋_GB2312"/>
          <w:i w:val="0"/>
          <w:caps w:val="0"/>
          <w:color w:val="262626"/>
          <w:spacing w:val="0"/>
          <w:sz w:val="31"/>
          <w:szCs w:val="31"/>
          <w:shd w:val="clear" w:fill="FFFFFF"/>
          <w:lang w:eastAsia="zh-CN"/>
        </w:rPr>
        <w:t>并纳入调查评估范围，</w:t>
      </w:r>
      <w:r>
        <w:rPr>
          <w:rFonts w:hint="eastAsia" w:ascii="仿宋_GB2312" w:hAnsi="Calibri" w:eastAsia="仿宋_GB2312" w:cs="仿宋_GB2312"/>
          <w:i w:val="0"/>
          <w:caps w:val="0"/>
          <w:color w:val="262626"/>
          <w:spacing w:val="0"/>
          <w:sz w:val="31"/>
          <w:szCs w:val="31"/>
          <w:shd w:val="clear" w:fill="FFFFFF"/>
          <w:lang w:eastAsia="zh-CN"/>
        </w:rPr>
        <w:t>保障被收养未成年人的需求充分得到满足，</w:t>
      </w:r>
      <w:r>
        <w:rPr>
          <w:rFonts w:hint="eastAsia" w:ascii="仿宋_GB2312" w:hAnsi="Calibri" w:eastAsia="仿宋_GB2312" w:cs="仿宋_GB2312"/>
          <w:i w:val="0"/>
          <w:caps w:val="0"/>
          <w:color w:val="262626"/>
          <w:spacing w:val="0"/>
          <w:sz w:val="31"/>
          <w:szCs w:val="31"/>
          <w:shd w:val="clear" w:fill="FFFFFF"/>
          <w:lang w:val="en-US" w:eastAsia="zh-CN"/>
        </w:rPr>
        <w:t>将融合期纳入评估体系，重点考察收养双方的情感适配度与照料适配性，从源头降低收养关系不稳定风险，保障最终完成登记的收养家庭与被收养人和谐稳定相处。</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第四至第五部分规范评估后的各项事宜。对送养、收养双方综合评估后达成一致的，</w:t>
      </w:r>
      <w:r>
        <w:rPr>
          <w:rFonts w:hint="default" w:ascii="Times New Roman" w:hAnsi="Times New Roman" w:eastAsia="仿宋_GB2312" w:cs="Times New Roman"/>
          <w:sz w:val="32"/>
          <w:szCs w:val="32"/>
          <w:lang w:val="en-US" w:eastAsia="zh-CN"/>
        </w:rPr>
        <w:t>《规程》</w:t>
      </w:r>
      <w:r>
        <w:rPr>
          <w:rFonts w:hint="eastAsia" w:ascii="Times New Roman" w:hAnsi="Times New Roman" w:eastAsia="仿宋_GB2312" w:cs="Times New Roman"/>
          <w:sz w:val="32"/>
          <w:szCs w:val="32"/>
          <w:highlight w:val="none"/>
          <w:lang w:val="en-US" w:eastAsia="zh-CN"/>
        </w:rPr>
        <w:t>明确了各项登记程序、材料以及要求实现“评估-登记”的无缝衔接。此外，为了防止在此过程中出现违规行为，</w:t>
      </w:r>
      <w:r>
        <w:rPr>
          <w:rFonts w:hint="default" w:ascii="Times New Roman" w:hAnsi="Times New Roman" w:eastAsia="仿宋_GB2312" w:cs="Times New Roman"/>
          <w:sz w:val="32"/>
          <w:szCs w:val="32"/>
          <w:lang w:val="en-US" w:eastAsia="zh-CN"/>
        </w:rPr>
        <w:t>《规程》</w:t>
      </w:r>
      <w:r>
        <w:rPr>
          <w:rFonts w:hint="eastAsia" w:ascii="Times New Roman" w:hAnsi="Times New Roman" w:eastAsia="仿宋_GB2312" w:cs="Times New Roman"/>
          <w:sz w:val="32"/>
          <w:szCs w:val="32"/>
          <w:highlight w:val="none"/>
          <w:lang w:val="en-US" w:eastAsia="zh-CN"/>
        </w:rPr>
        <w:t>明确了各类监管事项和责任主体，强调信息存档的必要性，通过“流程闭环+责任闭环”的双重保障，确保各项程序严格依法依规执行，</w:t>
      </w:r>
      <w:r>
        <w:rPr>
          <w:rFonts w:hint="eastAsia" w:ascii="Times New Roman" w:hAnsi="Times New Roman" w:eastAsia="仿宋_GB2312" w:cs="Times New Roman"/>
          <w:sz w:val="32"/>
          <w:szCs w:val="32"/>
          <w:highlight w:val="none"/>
          <w:lang w:eastAsia="zh-CN"/>
        </w:rPr>
        <w:t>有据可查</w:t>
      </w:r>
      <w:r>
        <w:rPr>
          <w:rFonts w:hint="eastAsia" w:ascii="Times New Roman" w:hAnsi="Times New Roman" w:eastAsia="仿宋_GB2312"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highlight w:val="yellow"/>
          <w:lang w:val="en-US" w:eastAsia="zh-CN"/>
        </w:rPr>
      </w:pPr>
      <w:r>
        <w:rPr>
          <w:rFonts w:hint="eastAsia" w:ascii="Times New Roman" w:hAnsi="Times New Roman" w:eastAsia="黑体" w:cs="Times New Roman"/>
          <w:sz w:val="32"/>
          <w:szCs w:val="32"/>
          <w:highlight w:val="yellow"/>
          <w:lang w:eastAsia="zh-CN"/>
        </w:rPr>
        <w:t>六、与上级政策的异同点（</w:t>
      </w:r>
      <w:r>
        <w:rPr>
          <w:rFonts w:hint="eastAsia" w:ascii="Times New Roman" w:hAnsi="Times New Roman" w:eastAsia="仿宋_GB2312" w:cs="Times New Roman"/>
          <w:sz w:val="32"/>
          <w:szCs w:val="32"/>
          <w:highlight w:val="yellow"/>
          <w:lang w:val="en-US" w:eastAsia="zh-CN"/>
        </w:rPr>
        <w:t>鉴于“</w:t>
      </w:r>
      <w:r>
        <w:rPr>
          <w:rFonts w:hint="default" w:ascii="Times New Roman" w:hAnsi="Times New Roman" w:eastAsia="仿宋_GB2312" w:cs="Times New Roman"/>
          <w:sz w:val="32"/>
          <w:szCs w:val="32"/>
          <w:highlight w:val="yellow"/>
          <w:lang w:val="en-US" w:eastAsia="zh-CN"/>
        </w:rPr>
        <w:t>《山东省收养评估办法》</w:t>
      </w:r>
      <w:r>
        <w:rPr>
          <w:rFonts w:hint="eastAsia" w:ascii="Times New Roman" w:hAnsi="Times New Roman" w:eastAsia="仿宋_GB2312" w:cs="Times New Roman"/>
          <w:sz w:val="32"/>
          <w:szCs w:val="32"/>
          <w:highlight w:val="yellow"/>
          <w:lang w:val="en-US" w:eastAsia="zh-CN"/>
        </w:rPr>
        <w:t>等</w:t>
      </w:r>
      <w:r>
        <w:rPr>
          <w:rFonts w:hint="default" w:ascii="Times New Roman" w:hAnsi="Times New Roman" w:eastAsia="仿宋_GB2312" w:cs="Times New Roman"/>
          <w:sz w:val="32"/>
          <w:szCs w:val="32"/>
          <w:highlight w:val="yellow"/>
          <w:lang w:val="en-US" w:eastAsia="zh-CN"/>
        </w:rPr>
        <w:t>政策</w:t>
      </w:r>
      <w:r>
        <w:rPr>
          <w:rFonts w:hint="eastAsia" w:ascii="Times New Roman" w:hAnsi="Times New Roman" w:eastAsia="仿宋_GB2312" w:cs="Times New Roman"/>
          <w:sz w:val="32"/>
          <w:szCs w:val="32"/>
          <w:highlight w:val="yellow"/>
          <w:lang w:val="en-US" w:eastAsia="zh-CN"/>
        </w:rPr>
        <w:t>文件</w:t>
      </w:r>
      <w:r>
        <w:rPr>
          <w:rFonts w:hint="default" w:ascii="Times New Roman" w:hAnsi="Times New Roman" w:eastAsia="仿宋_GB2312" w:cs="Times New Roman"/>
          <w:sz w:val="32"/>
          <w:szCs w:val="32"/>
          <w:highlight w:val="yellow"/>
          <w:lang w:val="en-US" w:eastAsia="zh-CN"/>
        </w:rPr>
        <w:t>，</w:t>
      </w:r>
      <w:r>
        <w:rPr>
          <w:rFonts w:hint="eastAsia" w:ascii="Times New Roman" w:hAnsi="Times New Roman" w:eastAsia="仿宋_GB2312" w:cs="Times New Roman"/>
          <w:sz w:val="32"/>
          <w:szCs w:val="32"/>
          <w:highlight w:val="yellow"/>
          <w:lang w:val="en-US" w:eastAsia="zh-CN"/>
        </w:rPr>
        <w:t>明确要求各地市要出台相应政策”这一说法，建议增加与上级政策的异同点，内容3-4行简要介绍即可）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本文件与上级文件</w:t>
      </w:r>
      <w:r>
        <w:rPr>
          <w:rFonts w:hint="default" w:ascii="Times New Roman" w:hAnsi="Times New Roman" w:eastAsia="仿宋_GB2312" w:cs="Times New Roman"/>
          <w:sz w:val="32"/>
          <w:szCs w:val="32"/>
          <w:highlight w:val="none"/>
          <w:lang w:val="en-US" w:eastAsia="zh-CN"/>
        </w:rPr>
        <w:t>《山东省收养评估办法》</w:t>
      </w:r>
      <w:r>
        <w:rPr>
          <w:rFonts w:hint="eastAsia" w:ascii="Times New Roman" w:hAnsi="Times New Roman" w:eastAsia="仿宋_GB2312" w:cs="Times New Roman"/>
          <w:sz w:val="32"/>
          <w:szCs w:val="32"/>
          <w:highlight w:val="none"/>
          <w:lang w:val="en-US" w:eastAsia="zh-CN"/>
        </w:rPr>
        <w:t>相同之处在于总体工作流程严格遵循《中华人民共和国民法典》等上级政策的核心原则与基本要求，始终将被收养人合法权益保障放在首位。不同点在于，《规程》的</w:t>
      </w:r>
      <w:r>
        <w:rPr>
          <w:rFonts w:hint="default" w:ascii="Times New Roman" w:hAnsi="Times New Roman" w:eastAsia="仿宋_GB2312" w:cs="Times New Roman"/>
          <w:sz w:val="32"/>
          <w:szCs w:val="32"/>
          <w:highlight w:val="none"/>
          <w:lang w:val="en-US" w:eastAsia="zh-CN"/>
        </w:rPr>
        <w:t>地方适配性更强</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立足威海</w:t>
      </w:r>
      <w:bookmarkStart w:id="0" w:name="_GoBack"/>
      <w:bookmarkEnd w:id="0"/>
      <w:r>
        <w:rPr>
          <w:rFonts w:hint="default" w:ascii="Times New Roman" w:hAnsi="Times New Roman" w:eastAsia="仿宋_GB2312" w:cs="Times New Roman"/>
          <w:sz w:val="32"/>
          <w:szCs w:val="32"/>
          <w:highlight w:val="none"/>
          <w:lang w:val="en-US" w:eastAsia="zh-CN"/>
        </w:rPr>
        <w:t>本地实际，</w:t>
      </w:r>
      <w:r>
        <w:rPr>
          <w:rFonts w:hint="eastAsia" w:ascii="Times New Roman" w:hAnsi="Times New Roman" w:eastAsia="仿宋_GB2312" w:cs="Times New Roman"/>
          <w:sz w:val="32"/>
          <w:szCs w:val="32"/>
          <w:highlight w:val="none"/>
          <w:lang w:val="en-US" w:eastAsia="zh-CN"/>
        </w:rPr>
        <w:t>明确</w:t>
      </w:r>
      <w:r>
        <w:rPr>
          <w:rFonts w:hint="default" w:ascii="Times New Roman" w:hAnsi="Times New Roman" w:eastAsia="仿宋_GB2312" w:cs="Times New Roman"/>
          <w:sz w:val="32"/>
          <w:szCs w:val="32"/>
          <w:highlight w:val="none"/>
          <w:lang w:val="en-US" w:eastAsia="zh-CN"/>
        </w:rPr>
        <w:t>市儿童福利院、收养登记机关等主体</w:t>
      </w:r>
      <w:r>
        <w:rPr>
          <w:rFonts w:hint="eastAsia" w:ascii="Times New Roman" w:hAnsi="Times New Roman" w:eastAsia="仿宋_GB2312" w:cs="Times New Roman"/>
          <w:sz w:val="32"/>
          <w:szCs w:val="32"/>
          <w:highlight w:val="none"/>
          <w:lang w:val="en-US" w:eastAsia="zh-CN"/>
        </w:rPr>
        <w:t>协同</w:t>
      </w:r>
      <w:r>
        <w:rPr>
          <w:rFonts w:hint="default" w:ascii="Times New Roman" w:hAnsi="Times New Roman" w:eastAsia="仿宋_GB2312" w:cs="Times New Roman"/>
          <w:sz w:val="32"/>
          <w:szCs w:val="32"/>
          <w:highlight w:val="none"/>
          <w:lang w:val="en-US" w:eastAsia="zh-CN"/>
        </w:rPr>
        <w:t>职责，</w:t>
      </w:r>
      <w:r>
        <w:rPr>
          <w:rFonts w:hint="eastAsia" w:ascii="Times New Roman" w:hAnsi="Times New Roman" w:eastAsia="仿宋_GB2312" w:cs="Times New Roman"/>
          <w:sz w:val="32"/>
          <w:szCs w:val="32"/>
          <w:highlight w:val="none"/>
          <w:lang w:val="en-US" w:eastAsia="zh-CN"/>
        </w:rPr>
        <w:t>对送养评估流程进行了细化，</w:t>
      </w:r>
      <w:r>
        <w:rPr>
          <w:rFonts w:hint="default" w:ascii="Times New Roman" w:hAnsi="Times New Roman" w:eastAsia="仿宋_GB2312" w:cs="Times New Roman"/>
          <w:sz w:val="32"/>
          <w:szCs w:val="32"/>
          <w:highlight w:val="none"/>
          <w:lang w:val="en-US" w:eastAsia="zh-CN"/>
        </w:rPr>
        <w:t>明确</w:t>
      </w:r>
      <w:r>
        <w:rPr>
          <w:rFonts w:hint="eastAsia" w:ascii="Times New Roman" w:hAnsi="Times New Roman" w:eastAsia="仿宋_GB2312" w:cs="Times New Roman"/>
          <w:sz w:val="32"/>
          <w:szCs w:val="32"/>
          <w:highlight w:val="none"/>
          <w:lang w:val="en-US" w:eastAsia="zh-CN"/>
        </w:rPr>
        <w:t>网站公示</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登记顺序</w:t>
      </w:r>
      <w:r>
        <w:rPr>
          <w:rFonts w:hint="default" w:ascii="Times New Roman" w:hAnsi="Times New Roman" w:eastAsia="仿宋_GB2312" w:cs="Times New Roman"/>
          <w:sz w:val="32"/>
          <w:szCs w:val="32"/>
          <w:highlight w:val="none"/>
          <w:lang w:val="en-US" w:eastAsia="zh-CN"/>
        </w:rPr>
        <w:t>等实操要求</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确保规程能落地、易执行。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eastAsia="zh-CN"/>
        </w:rPr>
      </w:pPr>
      <w:r>
        <w:rPr>
          <w:rFonts w:hint="eastAsia" w:ascii="Times New Roman" w:hAnsi="Times New Roman" w:eastAsia="黑体" w:cs="Times New Roman"/>
          <w:sz w:val="32"/>
          <w:szCs w:val="32"/>
          <w:lang w:eastAsia="zh-CN"/>
        </w:rPr>
        <w:t>七、</w:t>
      </w:r>
      <w:r>
        <w:rPr>
          <w:rFonts w:hint="default" w:ascii="Times New Roman" w:hAnsi="Times New Roman" w:eastAsia="黑体" w:cs="Times New Roman"/>
          <w:sz w:val="32"/>
          <w:szCs w:val="32"/>
          <w:lang w:eastAsia="zh-CN"/>
        </w:rPr>
        <w:t>政策解读人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威海市民政局</w:t>
      </w:r>
      <w:r>
        <w:rPr>
          <w:rFonts w:hint="eastAsia" w:ascii="Times New Roman" w:hAnsi="Times New Roman" w:eastAsia="仿宋_GB2312" w:cs="Times New Roman"/>
          <w:sz w:val="32"/>
          <w:szCs w:val="32"/>
          <w:lang w:eastAsia="zh-CN"/>
        </w:rPr>
        <w:t>儿童福利</w:t>
      </w:r>
      <w:r>
        <w:rPr>
          <w:rFonts w:hint="default" w:ascii="Times New Roman" w:hAnsi="Times New Roman" w:eastAsia="仿宋_GB2312" w:cs="Times New Roman"/>
          <w:sz w:val="32"/>
          <w:szCs w:val="32"/>
        </w:rPr>
        <w:t>科，0631-5895</w:t>
      </w:r>
      <w:r>
        <w:rPr>
          <w:rFonts w:hint="eastAsia" w:ascii="Times New Roman" w:hAnsi="Times New Roman" w:eastAsia="仿宋_GB2312" w:cs="Times New Roman"/>
          <w:sz w:val="32"/>
          <w:szCs w:val="32"/>
          <w:lang w:val="en-US" w:eastAsia="zh-CN"/>
        </w:rPr>
        <w:t>606</w:t>
      </w:r>
      <w:r>
        <w:rPr>
          <w:rFonts w:hint="default" w:ascii="Times New Roman" w:hAnsi="Times New Roman" w:eastAsia="仿宋_GB2312" w:cs="Times New Roman"/>
          <w:sz w:val="32"/>
          <w:szCs w:val="32"/>
        </w:rPr>
        <w:t>。</w:t>
      </w:r>
    </w:p>
    <w:sectPr>
      <w:pgSz w:w="11906" w:h="16838"/>
      <w:pgMar w:top="2098" w:right="1474" w:bottom="187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9B587D"/>
    <w:rsid w:val="2A1945A5"/>
    <w:rsid w:val="5F9B587D"/>
    <w:rsid w:val="6E7758DC"/>
    <w:rsid w:val="6FF797BE"/>
    <w:rsid w:val="737B5F6C"/>
    <w:rsid w:val="73BFCAF6"/>
    <w:rsid w:val="7AEE17E8"/>
    <w:rsid w:val="7BEF20A7"/>
    <w:rsid w:val="7E6F19AB"/>
    <w:rsid w:val="7FEBDF20"/>
    <w:rsid w:val="B7CF8F08"/>
    <w:rsid w:val="B7DD9797"/>
    <w:rsid w:val="BBDEBA3E"/>
    <w:rsid w:val="C5FE8206"/>
    <w:rsid w:val="D7BFA794"/>
    <w:rsid w:val="D7EFACBA"/>
    <w:rsid w:val="DB792468"/>
    <w:rsid w:val="EDE6BDAE"/>
    <w:rsid w:val="F7D56F13"/>
    <w:rsid w:val="F7FC3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rPr>
      <w:rFonts w:ascii="Calibri" w:hAnsi="Calibri" w:eastAsia="宋体" w:cs="Times New Roma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847</Words>
  <Characters>861</Characters>
  <Lines>0</Lines>
  <Paragraphs>0</Paragraphs>
  <TotalTime>0</TotalTime>
  <ScaleCrop>false</ScaleCrop>
  <LinksUpToDate>false</LinksUpToDate>
  <CharactersWithSpaces>861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2025-12-05T10:27:00Z</dcterms:created>
  <dc:creator>user</dc:creator>
  <cp:lastModifiedBy>user</cp:lastModifiedBy>
  <dcterms:modified xsi:type="dcterms:W3CDTF">2025-12-30T08:49:26Z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eyJoZGlkIjoiYTRiYTlmNjdhNTMyMWE5MDFkZjNjZTFmYzk1YzFmNDYiLCJ1c2VySWQiOiI1NjI0ODc0MzgifQ==</vt:lpwstr>
  </property>
  <property fmtid="{D5CDD505-2E9C-101B-9397-08002B2CF9AE}" pid="4" name="ICV">
    <vt:lpwstr>38DA7B7C98CC4C1394BA1AF494DF3531_12</vt:lpwstr>
  </property>
</Properties>
</file>