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580" w:lineRule="exact"/>
        <w:ind w:firstLine="880" w:firstLineChars="200"/>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威海市海洋种业促进条例</w:t>
      </w:r>
    </w:p>
    <w:p>
      <w:pPr>
        <w:spacing w:after="0" w:line="580" w:lineRule="exact"/>
        <w:ind w:firstLine="880" w:firstLineChars="200"/>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w:t>
      </w: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草案送审</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稿）</w:t>
      </w:r>
    </w:p>
    <w:p>
      <w:pPr>
        <w:spacing w:after="0" w:line="580" w:lineRule="exact"/>
        <w:ind w:firstLine="640" w:firstLineChars="200"/>
        <w:jc w:val="center"/>
        <w:rPr>
          <w:rFonts w:ascii="仿宋" w:hAnsi="仿宋" w:eastAsia="仿宋" w:cs="仿宋"/>
          <w:color w:val="000000" w:themeColor="text1"/>
          <w:sz w:val="32"/>
          <w:szCs w:val="32"/>
          <w14:textFill>
            <w14:solidFill>
              <w14:schemeClr w14:val="tx1"/>
            </w14:solidFill>
          </w14:textFill>
        </w:rPr>
      </w:pPr>
    </w:p>
    <w:p>
      <w:pPr>
        <w:pStyle w:val="2"/>
        <w:spacing w:line="580" w:lineRule="exact"/>
        <w:ind w:left="0" w:leftChars="0" w:firstLine="643"/>
        <w:rPr>
          <w:rFonts w:ascii="仿宋" w:hAnsi="仿宋" w:eastAsia="仿宋" w:cs="仿宋"/>
          <w:b/>
          <w:bCs/>
          <w:color w:val="000000" w:themeColor="text1"/>
          <w:sz w:val="32"/>
          <w:szCs w:val="32"/>
          <w14:textFill>
            <w14:solidFill>
              <w14:schemeClr w14:val="tx1"/>
            </w14:solidFill>
          </w14:textFill>
        </w:rPr>
      </w:pPr>
      <w:r>
        <w:rPr>
          <w:rFonts w:ascii="仿宋" w:hAnsi="仿宋" w:eastAsia="仿宋" w:cs="仿宋"/>
          <w:b/>
          <w:bCs/>
          <w:color w:val="000000" w:themeColor="text1"/>
          <w:sz w:val="32"/>
          <w:szCs w:val="32"/>
          <w14:textFill>
            <w14:solidFill>
              <w14:schemeClr w14:val="tx1"/>
            </w14:solidFill>
          </w14:textFill>
        </w:rPr>
        <w:t>第一章 总 则</w:t>
      </w:r>
      <w:bookmarkStart w:id="14" w:name="_GoBack"/>
      <w:bookmarkEnd w:id="14"/>
    </w:p>
    <w:p>
      <w:pPr>
        <w:pStyle w:val="2"/>
        <w:spacing w:line="580" w:lineRule="exact"/>
        <w:ind w:left="0" w:leftChars="0" w:firstLine="643"/>
        <w:rPr>
          <w:rFonts w:ascii="仿宋" w:hAnsi="仿宋" w:eastAsia="仿宋" w:cs="仿宋"/>
          <w:b/>
          <w:bCs/>
          <w:color w:val="000000" w:themeColor="text1"/>
          <w:sz w:val="32"/>
          <w:szCs w:val="32"/>
          <w14:textFill>
            <w14:solidFill>
              <w14:schemeClr w14:val="tx1"/>
            </w14:solidFill>
          </w14:textFill>
        </w:rPr>
      </w:pPr>
      <w:r>
        <w:rPr>
          <w:rFonts w:ascii="仿宋" w:hAnsi="仿宋" w:eastAsia="仿宋" w:cs="仿宋"/>
          <w:b/>
          <w:bCs/>
          <w:color w:val="000000" w:themeColor="text1"/>
          <w:sz w:val="32"/>
          <w:szCs w:val="32"/>
          <w14:textFill>
            <w14:solidFill>
              <w14:schemeClr w14:val="tx1"/>
            </w14:solidFill>
          </w14:textFill>
        </w:rPr>
        <w:t>第二章 保护与提升</w:t>
      </w:r>
    </w:p>
    <w:p>
      <w:pPr>
        <w:pStyle w:val="2"/>
        <w:spacing w:line="580" w:lineRule="exact"/>
        <w:ind w:left="0" w:leftChars="0" w:firstLine="643"/>
        <w:rPr>
          <w:rFonts w:ascii="仿宋" w:hAnsi="仿宋" w:eastAsia="仿宋" w:cs="仿宋"/>
          <w:b/>
          <w:bCs/>
          <w:color w:val="000000" w:themeColor="text1"/>
          <w:sz w:val="32"/>
          <w:szCs w:val="32"/>
          <w14:textFill>
            <w14:solidFill>
              <w14:schemeClr w14:val="tx1"/>
            </w14:solidFill>
          </w14:textFill>
        </w:rPr>
      </w:pPr>
      <w:r>
        <w:rPr>
          <w:rFonts w:ascii="仿宋" w:hAnsi="仿宋" w:eastAsia="仿宋" w:cs="仿宋"/>
          <w:b/>
          <w:bCs/>
          <w:color w:val="000000" w:themeColor="text1"/>
          <w:sz w:val="32"/>
          <w:szCs w:val="32"/>
          <w14:textFill>
            <w14:solidFill>
              <w14:schemeClr w14:val="tx1"/>
            </w14:solidFill>
          </w14:textFill>
        </w:rPr>
        <w:t>第三章 育种创新</w:t>
      </w:r>
    </w:p>
    <w:p>
      <w:pPr>
        <w:pStyle w:val="2"/>
        <w:spacing w:line="580" w:lineRule="exact"/>
        <w:ind w:left="0" w:leftChars="0" w:firstLine="643"/>
        <w:rPr>
          <w:rFonts w:ascii="仿宋" w:hAnsi="仿宋" w:eastAsia="仿宋" w:cs="仿宋"/>
          <w:b/>
          <w:bCs/>
          <w:color w:val="000000" w:themeColor="text1"/>
          <w:sz w:val="32"/>
          <w:szCs w:val="32"/>
          <w14:textFill>
            <w14:solidFill>
              <w14:schemeClr w14:val="tx1"/>
            </w14:solidFill>
          </w14:textFill>
        </w:rPr>
      </w:pPr>
      <w:r>
        <w:rPr>
          <w:rFonts w:ascii="仿宋" w:hAnsi="仿宋" w:eastAsia="仿宋" w:cs="仿宋"/>
          <w:b/>
          <w:bCs/>
          <w:color w:val="000000" w:themeColor="text1"/>
          <w:sz w:val="32"/>
          <w:szCs w:val="32"/>
          <w14:textFill>
            <w14:solidFill>
              <w14:schemeClr w14:val="tx1"/>
            </w14:solidFill>
          </w14:textFill>
        </w:rPr>
        <w:t>第四章 产业发展</w:t>
      </w:r>
    </w:p>
    <w:p>
      <w:pPr>
        <w:pStyle w:val="2"/>
        <w:spacing w:line="580" w:lineRule="exact"/>
        <w:ind w:left="0" w:leftChars="0" w:firstLine="643"/>
        <w:rPr>
          <w:rFonts w:ascii="仿宋" w:hAnsi="仿宋" w:eastAsia="仿宋" w:cs="仿宋"/>
          <w:b/>
          <w:bCs/>
          <w:color w:val="000000" w:themeColor="text1"/>
          <w:sz w:val="32"/>
          <w:szCs w:val="32"/>
          <w14:textFill>
            <w14:solidFill>
              <w14:schemeClr w14:val="tx1"/>
            </w14:solidFill>
          </w14:textFill>
        </w:rPr>
      </w:pPr>
      <w:r>
        <w:rPr>
          <w:rFonts w:ascii="仿宋" w:hAnsi="仿宋" w:eastAsia="仿宋" w:cs="仿宋"/>
          <w:b/>
          <w:bCs/>
          <w:color w:val="000000" w:themeColor="text1"/>
          <w:sz w:val="32"/>
          <w:szCs w:val="32"/>
          <w14:textFill>
            <w14:solidFill>
              <w14:schemeClr w14:val="tx1"/>
            </w14:solidFill>
          </w14:textFill>
        </w:rPr>
        <w:t>第五章 扶持与保障</w:t>
      </w:r>
    </w:p>
    <w:p>
      <w:pPr>
        <w:pStyle w:val="2"/>
        <w:spacing w:line="580" w:lineRule="exact"/>
        <w:ind w:left="0" w:leftChars="0" w:firstLine="643"/>
        <w:rPr>
          <w:rFonts w:ascii="仿宋" w:hAnsi="仿宋" w:eastAsia="仿宋" w:cs="仿宋"/>
          <w:b/>
          <w:bCs/>
          <w:color w:val="000000" w:themeColor="text1"/>
          <w:sz w:val="32"/>
          <w:szCs w:val="32"/>
          <w14:textFill>
            <w14:solidFill>
              <w14:schemeClr w14:val="tx1"/>
            </w14:solidFill>
          </w14:textFill>
        </w:rPr>
      </w:pPr>
      <w:r>
        <w:rPr>
          <w:rFonts w:ascii="仿宋" w:hAnsi="仿宋" w:eastAsia="仿宋" w:cs="仿宋"/>
          <w:b/>
          <w:bCs/>
          <w:color w:val="000000" w:themeColor="text1"/>
          <w:sz w:val="32"/>
          <w:szCs w:val="32"/>
          <w14:textFill>
            <w14:solidFill>
              <w14:schemeClr w14:val="tx1"/>
            </w14:solidFill>
          </w14:textFill>
        </w:rPr>
        <w:t>第六章 附 则</w:t>
      </w:r>
    </w:p>
    <w:p/>
    <w:p>
      <w:pPr>
        <w:spacing w:after="0" w:line="580" w:lineRule="exact"/>
        <w:ind w:firstLine="640" w:firstLineChars="200"/>
        <w:jc w:val="center"/>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第一章 总 则</w:t>
      </w:r>
    </w:p>
    <w:p>
      <w:pPr>
        <w:pStyle w:val="2"/>
      </w:pP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 xml:space="preserve">第一条 〔立法目的与依据〕 </w:t>
      </w:r>
      <w:r>
        <w:rPr>
          <w:rFonts w:hint="eastAsia" w:ascii="仿宋" w:hAnsi="仿宋" w:eastAsia="仿宋" w:cs="仿宋"/>
          <w:color w:val="000000" w:themeColor="text1"/>
          <w:sz w:val="32"/>
          <w:szCs w:val="32"/>
          <w14:textFill>
            <w14:solidFill>
              <w14:schemeClr w14:val="tx1"/>
            </w14:solidFill>
          </w14:textFill>
        </w:rPr>
        <w:t>为加强海洋种质资源保护与利用，保障供种安全，鼓励育种创新，推动海洋种业振兴和高质量发展，根据《中华人民共和国渔业法》《中华人民共和国种子法》《中华人民共和国生物安全法》等法律、法规，结合本市实际，制定本条例。</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第二条〔适用范围〕</w:t>
      </w:r>
      <w:r>
        <w:rPr>
          <w:rFonts w:hint="eastAsia" w:ascii="仿宋" w:hAnsi="仿宋" w:eastAsia="仿宋" w:cs="仿宋"/>
          <w:color w:val="000000" w:themeColor="text1"/>
          <w:sz w:val="32"/>
          <w:szCs w:val="32"/>
          <w14:textFill>
            <w14:solidFill>
              <w14:schemeClr w14:val="tx1"/>
            </w14:solidFill>
          </w14:textFill>
        </w:rPr>
        <w:t xml:space="preserve"> 本市行政区域内海洋种业发展促进工作，适用本条例。</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第三条〔发展原则〕</w:t>
      </w:r>
      <w:r>
        <w:rPr>
          <w:rFonts w:hint="eastAsia" w:ascii="仿宋" w:hAnsi="仿宋" w:eastAsia="仿宋" w:cs="仿宋"/>
          <w:color w:val="000000" w:themeColor="text1"/>
          <w:sz w:val="32"/>
          <w:szCs w:val="32"/>
          <w14:textFill>
            <w14:solidFill>
              <w14:schemeClr w14:val="tx1"/>
            </w14:solidFill>
          </w14:textFill>
        </w:rPr>
        <w:t xml:space="preserve"> 海洋种业发展应当坚持政府引导、市场主导、保护优先、创新引领、因地制宜、协同融合、生态绿色的原则，优化种业发展环境，构建以产业为导向、企业为主体、基地为依托、科技为支撑、政产学研用相结合、育繁推一体化具有国际先进水平的现代海洋种业创新与发展体系，打造北方规模最大、全国具有较大影响力的海洋种业基地。</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第四条〔政府职责〕</w:t>
      </w:r>
      <w:r>
        <w:rPr>
          <w:rFonts w:hint="eastAsia" w:ascii="仿宋" w:hAnsi="仿宋" w:eastAsia="仿宋" w:cs="仿宋"/>
          <w:color w:val="000000" w:themeColor="text1"/>
          <w:sz w:val="32"/>
          <w:szCs w:val="32"/>
          <w14:textFill>
            <w14:solidFill>
              <w14:schemeClr w14:val="tx1"/>
            </w14:solidFill>
          </w14:textFill>
        </w:rPr>
        <w:t xml:space="preserve"> 市、区（县级市）人民政府应当加强对海洋种业发展的领导，将海洋种业发展纳入国民经济和社会发展规划，制定并落实相关促进政策，建立协调机制，统筹解决海洋种业发展中的重大问题。</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镇人民政府、街道办事处应当协助做好海洋种业发展的相关工作。</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第五条〔部门职责〕</w:t>
      </w:r>
      <w:r>
        <w:rPr>
          <w:rFonts w:hint="eastAsia" w:ascii="仿宋" w:hAnsi="仿宋" w:eastAsia="仿宋" w:cs="仿宋"/>
          <w:color w:val="000000" w:themeColor="text1"/>
          <w:sz w:val="32"/>
          <w:szCs w:val="32"/>
          <w14:textFill>
            <w14:solidFill>
              <w14:schemeClr w14:val="tx1"/>
            </w14:solidFill>
          </w14:textFill>
        </w:rPr>
        <w:t xml:space="preserve"> 市海洋发展主管部门负责本市海洋种业发展的统筹规划、政策指导和协调服务等具体工作。</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发展改革</w:t>
      </w:r>
      <w:r>
        <w:rPr>
          <w:rFonts w:hint="eastAsia" w:ascii="仿宋" w:hAnsi="仿宋" w:eastAsia="仿宋" w:cs="仿宋"/>
          <w:color w:val="000000" w:themeColor="text1"/>
          <w:sz w:val="32"/>
          <w:szCs w:val="32"/>
          <w14:textFill>
            <w14:solidFill>
              <w14:schemeClr w14:val="tx1"/>
            </w14:solidFill>
          </w14:textFill>
        </w:rPr>
        <w:t>、科技、财政、自然资源和规划、</w:t>
      </w:r>
      <w:r>
        <w:rPr>
          <w:rFonts w:hint="eastAsia" w:ascii="仿宋" w:hAnsi="仿宋" w:eastAsia="仿宋" w:cs="仿宋"/>
          <w:color w:val="000000" w:themeColor="text1"/>
          <w:sz w:val="32"/>
          <w:szCs w:val="32"/>
          <w:lang w:eastAsia="zh-CN"/>
          <w14:textFill>
            <w14:solidFill>
              <w14:schemeClr w14:val="tx1"/>
            </w14:solidFill>
          </w14:textFill>
        </w:rPr>
        <w:t>人力资源社会保障、</w:t>
      </w:r>
      <w:r>
        <w:rPr>
          <w:rFonts w:hint="eastAsia" w:ascii="仿宋" w:hAnsi="仿宋" w:eastAsia="仿宋" w:cs="仿宋"/>
          <w:color w:val="000000" w:themeColor="text1"/>
          <w:sz w:val="32"/>
          <w:szCs w:val="32"/>
          <w14:textFill>
            <w14:solidFill>
              <w14:schemeClr w14:val="tx1"/>
            </w14:solidFill>
          </w14:textFill>
        </w:rPr>
        <w:t>生态环境、市场监管、大数据、气象、金融监管等部门应当按照各自职责，共同做好海洋种业发展促进的相关工作。</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第六条〔社会参与与奖励〕</w:t>
      </w:r>
      <w:r>
        <w:rPr>
          <w:rFonts w:hint="eastAsia" w:ascii="仿宋" w:hAnsi="仿宋" w:eastAsia="仿宋" w:cs="仿宋"/>
          <w:color w:val="000000" w:themeColor="text1"/>
          <w:sz w:val="32"/>
          <w:szCs w:val="32"/>
          <w14:textFill>
            <w14:solidFill>
              <w14:schemeClr w14:val="tx1"/>
            </w14:solidFill>
          </w14:textFill>
        </w:rPr>
        <w:t xml:space="preserve"> 鼓励和支持企业、高等学校、科研机构、行业协会以及其他社会组织和个人，积极参与海洋种业发展促进工作。</w:t>
      </w:r>
    </w:p>
    <w:p>
      <w:pPr>
        <w:pStyle w:val="2"/>
        <w:spacing w:after="0" w:line="580" w:lineRule="exact"/>
        <w:ind w:firstLine="640"/>
        <w:rPr>
          <w:rFonts w:ascii="仿宋" w:hAnsi="仿宋" w:eastAsia="仿宋" w:cs="仿宋"/>
          <w:color w:val="000000" w:themeColor="text1"/>
          <w:sz w:val="32"/>
          <w:szCs w:val="32"/>
          <w14:textFill>
            <w14:solidFill>
              <w14:schemeClr w14:val="tx1"/>
            </w14:solidFill>
          </w14:textFill>
        </w:rPr>
      </w:pPr>
    </w:p>
    <w:p>
      <w:pPr>
        <w:spacing w:after="0" w:line="580" w:lineRule="exact"/>
        <w:ind w:firstLine="640" w:firstLineChars="200"/>
        <w:jc w:val="center"/>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第二章 保护与提升</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 xml:space="preserve">第七条〔资源普查与名录〕 </w:t>
      </w:r>
      <w:r>
        <w:rPr>
          <w:rFonts w:hint="eastAsia" w:ascii="仿宋" w:hAnsi="仿宋" w:eastAsia="仿宋" w:cs="仿宋"/>
          <w:color w:val="000000" w:themeColor="text1"/>
          <w:sz w:val="32"/>
          <w:szCs w:val="32"/>
          <w14:textFill>
            <w14:solidFill>
              <w14:schemeClr w14:val="tx1"/>
            </w14:solidFill>
          </w14:textFill>
        </w:rPr>
        <w:t>市、区（县级市）海洋发展主管部门应当组织开展海洋种质资源普查、收集、鉴定和评价工作，建立本市海洋种质资源名录、档案及数据库，并依法向社会公布可供利用的海洋种质资源目录。</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第八条〔重点保护与保护区〕</w:t>
      </w:r>
      <w:r>
        <w:rPr>
          <w:rFonts w:hint="eastAsia" w:ascii="仿宋" w:hAnsi="仿宋" w:eastAsia="仿宋" w:cs="仿宋"/>
          <w:color w:val="000000" w:themeColor="text1"/>
          <w:sz w:val="32"/>
          <w:szCs w:val="32"/>
          <w14:textFill>
            <w14:solidFill>
              <w14:schemeClr w14:val="tx1"/>
            </w14:solidFill>
          </w14:textFill>
        </w:rPr>
        <w:t xml:space="preserve"> 对下列海洋种质资源，应当予以重点保护：</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（一）列入国家、省重点保护天然种质资源目录的；</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（二）珍稀、濒危的；</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（三）本市海域特有和具有地方特色的；</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（四）其他具有特殊价值需要重点保护的。</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市人民政府应当对前款规定的重点保护海洋种质资源，依法设立保护区，完善界址标志物、监控和管护设施，明确保护区管护单位的职责和责任。</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第九条〔保护体系建设〕</w:t>
      </w:r>
      <w:r>
        <w:rPr>
          <w:rFonts w:hint="eastAsia" w:ascii="仿宋" w:hAnsi="仿宋" w:eastAsia="仿宋" w:cs="仿宋"/>
          <w:color w:val="000000" w:themeColor="text1"/>
          <w:sz w:val="32"/>
          <w:szCs w:val="32"/>
          <w14:textFill>
            <w14:solidFill>
              <w14:schemeClr w14:val="tx1"/>
            </w14:solidFill>
          </w14:textFill>
        </w:rPr>
        <w:t xml:space="preserve"> 支持建设海洋生物遗传育种中心、海洋生物科创中心、现代海洋种业园区、国家级和省级水产原良种场，构建覆盖主要养殖种类的种质资源保存与利用体系。</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鼓励和支持企业、科研机构等单位依法单独或合作建设海洋种质资源库、保种场和基因库，开展海洋种质资源保护、评价与创新利用研究。</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第十条〔品种育种与种质维护〕</w:t>
      </w:r>
      <w:r>
        <w:rPr>
          <w:rFonts w:hint="eastAsia" w:ascii="仿宋" w:hAnsi="仿宋" w:eastAsia="仿宋" w:cs="仿宋"/>
          <w:color w:val="000000" w:themeColor="text1"/>
          <w:sz w:val="32"/>
          <w:szCs w:val="32"/>
          <w14:textFill>
            <w14:solidFill>
              <w14:schemeClr w14:val="tx1"/>
            </w14:solidFill>
          </w14:textFill>
        </w:rPr>
        <w:t xml:space="preserve"> 市、区（县级市）人民政府及其有关部门应当重点扶持本市海参、海带、牡蛎、扇贝、鲍鱼、鲆鲽鱼类等主导养殖品种、传统优良品种、全国市场潜力大品种的制种育种，鼓励和支持亲本提纯复壮和更新换代，防止种质退化，促进海洋种业品牌化发展，巩固并扩大产业竞争力。</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bookmarkStart w:id="0" w:name="OLE_LINK6"/>
      <w:r>
        <w:rPr>
          <w:rFonts w:hint="eastAsia" w:ascii="黑体" w:hAnsi="黑体" w:eastAsia="黑体" w:cs="黑体"/>
          <w:color w:val="000000" w:themeColor="text1"/>
          <w:sz w:val="32"/>
          <w:szCs w:val="32"/>
          <w14:textFill>
            <w14:solidFill>
              <w14:schemeClr w14:val="tx1"/>
            </w14:solidFill>
          </w14:textFill>
        </w:rPr>
        <w:t>第十一条〔资源引进</w:t>
      </w:r>
      <w:bookmarkEnd w:id="0"/>
      <w:r>
        <w:rPr>
          <w:rFonts w:hint="eastAsia" w:ascii="黑体" w:hAnsi="黑体" w:eastAsia="黑体" w:cs="黑体"/>
          <w:color w:val="000000" w:themeColor="text1"/>
          <w:sz w:val="32"/>
          <w:szCs w:val="32"/>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坚持本市优势海洋种质保护、出新与引进消化并举，加大市外国内现有水产新品种引进力度。</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除法律法规禁止的外，鼓励依法从境外引进优质海洋种质资源。从境外引进海洋种质资源的，应当依照国家有关规定办理审批和检疫手续，并采取相应安全控制措施。</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海洋发展主管部门应当会同海关等部门加强业务指导，提高通关便利性。</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bookmarkStart w:id="1" w:name="OLE_LINK28"/>
      <w:r>
        <w:rPr>
          <w:rFonts w:hint="eastAsia" w:ascii="黑体" w:hAnsi="黑体" w:eastAsia="黑体" w:cs="黑体"/>
          <w:color w:val="000000" w:themeColor="text1"/>
          <w:sz w:val="32"/>
          <w:szCs w:val="32"/>
          <w14:textFill>
            <w14:solidFill>
              <w14:schemeClr w14:val="tx1"/>
            </w14:solidFill>
          </w14:textFill>
        </w:rPr>
        <w:t>第十二条</w:t>
      </w:r>
      <w:bookmarkStart w:id="2" w:name="OLE_LINK41"/>
      <w:r>
        <w:rPr>
          <w:rFonts w:hint="eastAsia" w:ascii="黑体" w:hAnsi="黑体" w:eastAsia="黑体" w:cs="黑体"/>
          <w:color w:val="000000" w:themeColor="text1"/>
          <w:sz w:val="32"/>
          <w:szCs w:val="32"/>
          <w14:textFill>
            <w14:solidFill>
              <w14:schemeClr w14:val="tx1"/>
            </w14:solidFill>
          </w14:textFill>
        </w:rPr>
        <w:t>〔良种繁育基地</w:t>
      </w:r>
      <w:bookmarkEnd w:id="2"/>
      <w:bookmarkStart w:id="3" w:name="OLE_LINK42"/>
      <w:r>
        <w:rPr>
          <w:rFonts w:hint="eastAsia" w:ascii="黑体" w:hAnsi="黑体" w:eastAsia="黑体" w:cs="黑体"/>
          <w:color w:val="000000" w:themeColor="text1"/>
          <w:sz w:val="32"/>
          <w:szCs w:val="32"/>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市、区（县级市）人民政府</w:t>
      </w:r>
      <w:bookmarkEnd w:id="3"/>
      <w:r>
        <w:rPr>
          <w:rFonts w:hint="eastAsia" w:ascii="仿宋" w:hAnsi="仿宋" w:eastAsia="仿宋" w:cs="仿宋"/>
          <w:color w:val="000000" w:themeColor="text1"/>
          <w:sz w:val="32"/>
          <w:szCs w:val="32"/>
          <w14:textFill>
            <w14:solidFill>
              <w14:schemeClr w14:val="tx1"/>
            </w14:solidFill>
          </w14:textFill>
        </w:rPr>
        <w:t>应当规划建设规模适当、集中稳定的海洋种业科研试验和良种繁育基地，促进良种繁育规模化、标准化、集聚化发展。</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海洋发展主管部门应当推进</w:t>
      </w:r>
      <w:r>
        <w:rPr>
          <w:rFonts w:hint="eastAsia" w:ascii="仿宋" w:hAnsi="仿宋" w:eastAsia="仿宋" w:cs="仿宋"/>
          <w:color w:val="000000" w:themeColor="text1"/>
          <w:sz w:val="32"/>
          <w:szCs w:val="32"/>
          <w:lang w:eastAsia="zh-CN"/>
          <w14:textFill>
            <w14:solidFill>
              <w14:schemeClr w14:val="tx1"/>
            </w14:solidFill>
          </w14:textFill>
        </w:rPr>
        <w:t>水产</w:t>
      </w:r>
      <w:r>
        <w:rPr>
          <w:rFonts w:hint="eastAsia" w:ascii="仿宋" w:hAnsi="仿宋" w:eastAsia="仿宋" w:cs="仿宋"/>
          <w:color w:val="000000" w:themeColor="text1"/>
          <w:sz w:val="32"/>
          <w:szCs w:val="32"/>
          <w14:textFill>
            <w14:solidFill>
              <w14:schemeClr w14:val="tx1"/>
            </w14:solidFill>
          </w14:textFill>
        </w:rPr>
        <w:t>良种场建设，完善良种繁育和生物安全防护设施条件，保障良种繁育安全。</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p>
    <w:bookmarkEnd w:id="1"/>
    <w:p>
      <w:pPr>
        <w:spacing w:after="0" w:line="580" w:lineRule="exact"/>
        <w:ind w:firstLine="640" w:firstLineChars="200"/>
        <w:jc w:val="center"/>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第三章 育种创新</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第十三条〔技术与项目支持〕</w:t>
      </w:r>
      <w:r>
        <w:rPr>
          <w:rFonts w:hint="eastAsia" w:ascii="仿宋" w:hAnsi="仿宋" w:eastAsia="仿宋" w:cs="仿宋"/>
          <w:color w:val="000000" w:themeColor="text1"/>
          <w:sz w:val="32"/>
          <w:szCs w:val="32"/>
          <w14:textFill>
            <w14:solidFill>
              <w14:schemeClr w14:val="tx1"/>
            </w14:solidFill>
          </w14:textFill>
        </w:rPr>
        <w:t xml:space="preserve"> 市、区（县级市）人民政府应当支持开展海洋育种关键核心技术攻关和前沿技术突破，鼓励开展育种创新，培育具有自主知识产权的突破性新品种和进口替代型品种。</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海洋发展主管部门应当会</w:t>
      </w:r>
      <w:r>
        <w:rPr>
          <w:rFonts w:hint="eastAsia" w:ascii="仿宋" w:hAnsi="仿宋" w:eastAsia="仿宋" w:cs="仿宋"/>
          <w:color w:val="000000" w:themeColor="text1"/>
          <w:sz w:val="32"/>
          <w:szCs w:val="32"/>
          <w:lang w:eastAsia="zh-CN"/>
          <w14:textFill>
            <w14:solidFill>
              <w14:schemeClr w14:val="tx1"/>
            </w14:solidFill>
          </w14:textFill>
        </w:rPr>
        <w:t>有关</w:t>
      </w:r>
      <w:r>
        <w:rPr>
          <w:rFonts w:hint="eastAsia" w:ascii="仿宋" w:hAnsi="仿宋" w:eastAsia="仿宋" w:cs="仿宋"/>
          <w:color w:val="000000" w:themeColor="text1"/>
          <w:sz w:val="32"/>
          <w:szCs w:val="32"/>
          <w14:textFill>
            <w14:solidFill>
              <w14:schemeClr w14:val="tx1"/>
            </w14:solidFill>
          </w14:textFill>
        </w:rPr>
        <w:t>部门</w:t>
      </w:r>
      <w:r>
        <w:rPr>
          <w:rFonts w:hint="eastAsia" w:ascii="仿宋" w:hAnsi="仿宋" w:eastAsia="仿宋" w:cs="仿宋"/>
          <w:color w:val="000000" w:themeColor="text1"/>
          <w:sz w:val="32"/>
          <w:szCs w:val="32"/>
          <w:lang w:eastAsia="zh-CN"/>
          <w14:textFill>
            <w14:solidFill>
              <w14:schemeClr w14:val="tx1"/>
            </w14:solidFill>
          </w14:textFill>
        </w:rPr>
        <w:t>加大对</w:t>
      </w:r>
      <w:r>
        <w:rPr>
          <w:rFonts w:hint="eastAsia" w:ascii="仿宋" w:hAnsi="仿宋" w:eastAsia="仿宋" w:cs="仿宋"/>
          <w:color w:val="000000" w:themeColor="text1"/>
          <w:sz w:val="32"/>
          <w:szCs w:val="32"/>
          <w14:textFill>
            <w14:solidFill>
              <w14:schemeClr w14:val="tx1"/>
            </w14:solidFill>
          </w14:textFill>
        </w:rPr>
        <w:t>海洋种业科研项目</w:t>
      </w:r>
      <w:r>
        <w:rPr>
          <w:rFonts w:hint="eastAsia" w:ascii="仿宋" w:hAnsi="仿宋" w:eastAsia="仿宋" w:cs="仿宋"/>
          <w:color w:val="000000" w:themeColor="text1"/>
          <w:sz w:val="32"/>
          <w:szCs w:val="32"/>
          <w:lang w:eastAsia="zh-CN"/>
          <w14:textFill>
            <w14:solidFill>
              <w14:schemeClr w14:val="tx1"/>
            </w14:solidFill>
          </w14:textFill>
        </w:rPr>
        <w:t>支持力度</w:t>
      </w:r>
      <w:r>
        <w:rPr>
          <w:rFonts w:hint="eastAsia" w:ascii="仿宋" w:hAnsi="仿宋" w:eastAsia="仿宋" w:cs="仿宋"/>
          <w:color w:val="000000" w:themeColor="text1"/>
          <w:sz w:val="32"/>
          <w:szCs w:val="32"/>
          <w14:textFill>
            <w14:solidFill>
              <w14:schemeClr w14:val="tx1"/>
            </w14:solidFill>
          </w14:textFill>
        </w:rPr>
        <w:t>，重点扶持本地优势特色品种良种选育，对育种周期长以及具有重大经济或者社会价值的项目予以长期稳定支持。</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第十四条〔技术运用〕</w:t>
      </w:r>
      <w:r>
        <w:rPr>
          <w:rFonts w:hint="eastAsia" w:ascii="仿宋" w:hAnsi="仿宋" w:eastAsia="仿宋" w:cs="仿宋"/>
          <w:color w:val="000000" w:themeColor="text1"/>
          <w:sz w:val="32"/>
          <w:szCs w:val="32"/>
          <w14:textFill>
            <w14:solidFill>
              <w14:schemeClr w14:val="tx1"/>
            </w14:solidFill>
          </w14:textFill>
        </w:rPr>
        <w:t xml:space="preserve"> 鼓励运用群体选育、杂交育种、规模化家系选育、分子标记辅助育种、全基因组选择育种、倍性育种、性控育种、分子模块设计育种等多种育种技术，探索利用基因编辑等现代生物学技术，采取高效集成常规育种技术与前沿生物技术相结合的方式，创新良种培育、苗种繁育技术、健康生产模式，构建现代复合育种技术体系。</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bookmarkStart w:id="4" w:name="OLE_LINK24"/>
      <w:bookmarkStart w:id="5" w:name="OLE_LINK25"/>
      <w:r>
        <w:rPr>
          <w:rFonts w:hint="eastAsia" w:ascii="黑体" w:hAnsi="黑体" w:eastAsia="黑体" w:cs="黑体"/>
          <w:color w:val="000000" w:themeColor="text1"/>
          <w:sz w:val="32"/>
          <w:szCs w:val="32"/>
          <w14:textFill>
            <w14:solidFill>
              <w14:schemeClr w14:val="tx1"/>
            </w14:solidFill>
          </w14:textFill>
        </w:rPr>
        <w:t>第十五条〔智慧育种〕</w:t>
      </w:r>
      <w:r>
        <w:rPr>
          <w:rFonts w:hint="eastAsia" w:ascii="仿宋" w:hAnsi="仿宋" w:eastAsia="仿宋" w:cs="仿宋"/>
          <w:color w:val="000000" w:themeColor="text1"/>
          <w:sz w:val="32"/>
          <w:szCs w:val="32"/>
          <w14:textFill>
            <w14:solidFill>
              <w14:schemeClr w14:val="tx1"/>
            </w14:solidFill>
          </w14:textFill>
        </w:rPr>
        <w:t xml:space="preserve"> 支持联合打造智能设计育种等新一代信息技术平台，推动经验育种向智能设计育种转变。</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第十六条</w:t>
      </w:r>
      <w:bookmarkStart w:id="6" w:name="OLE_LINK29"/>
      <w:r>
        <w:rPr>
          <w:rFonts w:hint="eastAsia" w:ascii="黑体" w:hAnsi="黑体" w:eastAsia="黑体" w:cs="黑体"/>
          <w:color w:val="000000" w:themeColor="text1"/>
          <w:sz w:val="32"/>
          <w:szCs w:val="32"/>
          <w14:textFill>
            <w14:solidFill>
              <w14:schemeClr w14:val="tx1"/>
            </w14:solidFill>
          </w14:textFill>
        </w:rPr>
        <w:t>〔创新平台与机制</w:t>
      </w:r>
      <w:bookmarkEnd w:id="4"/>
      <w:bookmarkEnd w:id="5"/>
      <w:bookmarkEnd w:id="6"/>
      <w:r>
        <w:rPr>
          <w:rFonts w:hint="eastAsia" w:ascii="黑体" w:hAnsi="黑体" w:eastAsia="黑体" w:cs="黑体"/>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eastAsia="zh-CN"/>
          <w14:textFill>
            <w14:solidFill>
              <w14:schemeClr w14:val="tx1"/>
            </w14:solidFill>
          </w14:textFill>
        </w:rPr>
        <w:t>鼓励</w:t>
      </w:r>
      <w:r>
        <w:rPr>
          <w:rFonts w:hint="eastAsia" w:ascii="仿宋" w:hAnsi="仿宋" w:eastAsia="仿宋" w:cs="仿宋"/>
          <w:color w:val="000000" w:themeColor="text1"/>
          <w:sz w:val="32"/>
          <w:szCs w:val="32"/>
          <w14:textFill>
            <w14:solidFill>
              <w14:schemeClr w14:val="tx1"/>
            </w14:solidFill>
          </w14:textFill>
        </w:rPr>
        <w:t>种业企业创建重点实验室、技术创新中心、研发中心等各类育种研发机构和平台。</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鼓励种业企业与科研院所、高等院校组建创新联合体、共建实验室、种业创新研发中心、联合育种基地、遗传育种中心等协同创新平台，开展育种联合攻关，建立商业化育种体系。</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第十七条〔疾病防控支持〕</w:t>
      </w:r>
      <w:r>
        <w:rPr>
          <w:rFonts w:hint="eastAsia" w:ascii="仿宋" w:hAnsi="仿宋" w:eastAsia="仿宋" w:cs="仿宋"/>
          <w:color w:val="000000" w:themeColor="text1"/>
          <w:sz w:val="32"/>
          <w:szCs w:val="32"/>
          <w14:textFill>
            <w14:solidFill>
              <w14:schemeClr w14:val="tx1"/>
            </w14:solidFill>
          </w14:textFill>
        </w:rPr>
        <w:t xml:space="preserve"> 市、区（县级市）人民政府应当加强渔病预防与控制体系建设，完善水产苗种产地检疫制度，提升疫病防控与应急处置能力。</w:t>
      </w:r>
      <w:bookmarkStart w:id="7" w:name="OLE_LINK45"/>
    </w:p>
    <w:bookmarkEnd w:id="7"/>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第十八条</w:t>
      </w:r>
      <w:bookmarkStart w:id="8" w:name="OLE_LINK16"/>
      <w:bookmarkStart w:id="9" w:name="OLE_LINK17"/>
      <w:r>
        <w:rPr>
          <w:rFonts w:hint="eastAsia" w:ascii="黑体" w:hAnsi="黑体" w:eastAsia="黑体" w:cs="黑体"/>
          <w:color w:val="000000" w:themeColor="text1"/>
          <w:sz w:val="32"/>
          <w:szCs w:val="32"/>
          <w14:textFill>
            <w14:solidFill>
              <w14:schemeClr w14:val="tx1"/>
            </w14:solidFill>
          </w14:textFill>
        </w:rPr>
        <w:t>〔品种审定与推广</w:t>
      </w:r>
      <w:bookmarkEnd w:id="8"/>
      <w:bookmarkEnd w:id="9"/>
      <w:r>
        <w:rPr>
          <w:rFonts w:hint="eastAsia" w:ascii="黑体" w:hAnsi="黑体" w:eastAsia="黑体" w:cs="黑体"/>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 xml:space="preserve"> 在本市推广应用的海洋水产新品种，应当通过国家或者省级审定、登记。未经审定、登记的品种，不得以审定、登记品种的名义发布广告、推广或者销售。</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海洋发展主管部门应当做好本地适养优良品种的示范推广工作，鼓励建设品种展示示范基地，开展新品种展示示范、跟踪评价和宣传推广。</w:t>
      </w:r>
    </w:p>
    <w:p>
      <w:pPr>
        <w:pStyle w:val="2"/>
        <w:spacing w:after="0" w:line="580" w:lineRule="exact"/>
        <w:ind w:left="0" w:leftChars="0" w:firstLine="0" w:firstLineChars="0"/>
        <w:rPr>
          <w:rFonts w:ascii="仿宋" w:hAnsi="仿宋" w:eastAsia="仿宋" w:cs="仿宋"/>
          <w:color w:val="000000" w:themeColor="text1"/>
          <w:sz w:val="32"/>
          <w:szCs w:val="32"/>
          <w14:textFill>
            <w14:solidFill>
              <w14:schemeClr w14:val="tx1"/>
            </w14:solidFill>
          </w14:textFill>
        </w:rPr>
      </w:pPr>
    </w:p>
    <w:p>
      <w:pPr>
        <w:spacing w:after="0" w:line="580" w:lineRule="exact"/>
        <w:ind w:firstLine="640" w:firstLineChars="200"/>
        <w:jc w:val="center"/>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第四章 产业发展</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第十九条〔规划与布局〕</w:t>
      </w:r>
      <w:r>
        <w:rPr>
          <w:rFonts w:hint="eastAsia" w:ascii="仿宋" w:hAnsi="仿宋" w:eastAsia="仿宋" w:cs="仿宋"/>
          <w:color w:val="000000" w:themeColor="text1"/>
          <w:sz w:val="32"/>
          <w:szCs w:val="32"/>
          <w14:textFill>
            <w14:solidFill>
              <w14:schemeClr w14:val="tx1"/>
            </w14:solidFill>
          </w14:textFill>
        </w:rPr>
        <w:t>市人民政府应当根据本市海洋资源禀赋、区位特点和海洋种质科研优势，加强海洋资源统筹，科学规划发展空间、发展功能区、发展品类区布局，高标准、高质量、高水平规划建设现代海洋种业体系，促进海洋种业生态化、规模化、集聚化发展。</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海洋发展主管部门应当会同有关部门加大对海洋种质育种的扶持力度，支持海洋种苗研发中试以及产业化基地建设。</w:t>
      </w:r>
    </w:p>
    <w:p>
      <w:pPr>
        <w:suppressAutoHyphens/>
        <w:snapToGrid w:val="0"/>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第二十条〔推动绿色发展〕</w:t>
      </w:r>
      <w:r>
        <w:rPr>
          <w:rFonts w:hint="eastAsia" w:ascii="仿宋" w:hAnsi="仿宋" w:eastAsia="仿宋" w:cs="仿宋"/>
          <w:color w:val="000000" w:themeColor="text1"/>
          <w:sz w:val="32"/>
          <w:szCs w:val="32"/>
          <w14:textFill>
            <w14:solidFill>
              <w14:schemeClr w14:val="tx1"/>
            </w14:solidFill>
          </w14:textFill>
        </w:rPr>
        <w:t xml:space="preserve"> 支持在海洋种业园区内建立统一尾水处理排放系统，实现尾水集中处理、排放。鼓励、指导、推动企业因地制宜、结合实际，采取过滤、沉淀、净化等方式对养殖尾水进行处理，安装在线监测设备，开展养殖尾水自行监测，促进养殖尾水资源化利用或达标排放，推动水产养殖业绿色发展。</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第二十一条〔品牌建设与产业融合〕</w:t>
      </w:r>
      <w:r>
        <w:rPr>
          <w:rFonts w:hint="eastAsia" w:ascii="仿宋" w:hAnsi="仿宋" w:eastAsia="仿宋" w:cs="仿宋"/>
          <w:color w:val="000000" w:themeColor="text1"/>
          <w:sz w:val="32"/>
          <w:szCs w:val="32"/>
          <w14:textFill>
            <w14:solidFill>
              <w14:schemeClr w14:val="tx1"/>
            </w14:solidFill>
          </w14:textFill>
        </w:rPr>
        <w:t xml:space="preserve"> 市、区（县级市）人民政府应当支持创建和培育海洋种业及相关产品的区域公用品牌、企业品牌和产品品牌，提升威海海洋种业整体形象和市场竞争力。</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鼓励和支持海洋种业与海上牧场、水产加工、休闲渔业、海洋文化旅游等产业深度融合，延伸产业链条，提升产业综合效益。重点引导和支持打造一体化全产业链模式。</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 xml:space="preserve">第二十二条〔企业培育〕 </w:t>
      </w:r>
      <w:r>
        <w:rPr>
          <w:rFonts w:hint="eastAsia" w:ascii="仿宋" w:hAnsi="仿宋" w:eastAsia="仿宋" w:cs="仿宋"/>
          <w:color w:val="000000" w:themeColor="text1"/>
          <w:sz w:val="32"/>
          <w:szCs w:val="32"/>
          <w14:textFill>
            <w14:solidFill>
              <w14:schemeClr w14:val="tx1"/>
            </w14:solidFill>
          </w14:textFill>
        </w:rPr>
        <w:t>市海洋发展主管部门应当会同有关部门对种业企业实行梯度培育、分类指导，重点培育具有核心研发能力、产业带动能力和市场竞争力的育繁推一体化企业。</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支持种业企业通过重组、兼并、上市挂牌等方式扩大规模。鼓励国内外种业领军企业在本市落户。</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 xml:space="preserve">第二十三条〔支持转化〕 </w:t>
      </w:r>
      <w:r>
        <w:rPr>
          <w:rFonts w:hint="eastAsia" w:ascii="仿宋" w:hAnsi="仿宋" w:eastAsia="仿宋" w:cs="仿宋"/>
          <w:color w:val="000000" w:themeColor="text1"/>
          <w:sz w:val="32"/>
          <w:szCs w:val="32"/>
          <w14:textFill>
            <w14:solidFill>
              <w14:schemeClr w14:val="tx1"/>
            </w14:solidFill>
          </w14:textFill>
        </w:rPr>
        <w:t>鼓励拥有与海洋种业相关知识产权的科研机构、高等院校、企业、自然人等权利主体，以转让、许可使用、合作、作价入股等方式，进行科研成果转化。</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对完成、转化科研成果有重要贡献的人员，按照国家、省和市有关规定给予奖励和报酬。</w:t>
      </w:r>
    </w:p>
    <w:p>
      <w:pPr>
        <w:pStyle w:val="2"/>
        <w:spacing w:after="0" w:line="580" w:lineRule="exact"/>
        <w:ind w:left="0" w:leftChars="0"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鼓励依法创新科研成果的奖励和利益分配机制，激发科研人员的创新积极性。</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 xml:space="preserve">第二十四条〔人才支持〕 </w:t>
      </w:r>
      <w:r>
        <w:rPr>
          <w:rFonts w:hint="eastAsia" w:ascii="仿宋" w:hAnsi="仿宋" w:eastAsia="仿宋" w:cs="仿宋"/>
          <w:color w:val="000000" w:themeColor="text1"/>
          <w:sz w:val="32"/>
          <w:szCs w:val="32"/>
          <w14:textFill>
            <w14:solidFill>
              <w14:schemeClr w14:val="tx1"/>
            </w14:solidFill>
          </w14:textFill>
        </w:rPr>
        <w:t>鼓励海洋种质育种科技人才创新创业，根据相关规定给予支持。</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鼓励科研院所、高等院校与种业企业开展育种科技人员交流，支持本单位的科技人员到种业企业从事育种成果转化活动。</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第二十五条〔转化支持〕</w:t>
      </w:r>
      <w:r>
        <w:rPr>
          <w:rFonts w:hint="eastAsia" w:ascii="仿宋" w:hAnsi="仿宋" w:eastAsia="仿宋" w:cs="仿宋"/>
          <w:color w:val="000000" w:themeColor="text1"/>
          <w:sz w:val="32"/>
          <w:szCs w:val="32"/>
          <w14:textFill>
            <w14:solidFill>
              <w14:schemeClr w14:val="tx1"/>
            </w14:solidFill>
          </w14:textFill>
        </w:rPr>
        <w:t xml:space="preserve"> 市、区（县级市）人民政府应当建立完善以市场为导向的海洋种业科研成果转移转化机制，搭建各种助推科研成果转化的平台，提高科研成果转移转化效能，促进科研成果与产业对接。</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第二十六条〔区域协调〕</w:t>
      </w:r>
      <w:r>
        <w:rPr>
          <w:rFonts w:hint="eastAsia" w:ascii="仿宋" w:hAnsi="仿宋" w:eastAsia="仿宋" w:cs="仿宋"/>
          <w:color w:val="000000" w:themeColor="text1"/>
          <w:sz w:val="32"/>
          <w:szCs w:val="32"/>
          <w14:textFill>
            <w14:solidFill>
              <w14:schemeClr w14:val="tx1"/>
            </w14:solidFill>
          </w14:textFill>
        </w:rPr>
        <w:t xml:space="preserve"> 市人民政府应当加强与周边沿海城市协同联动，为本市海洋种业产业发展与区域合作互利共赢创造条件。</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第二十七条〔对接自贸区平台与资源〕</w:t>
      </w:r>
      <w:r>
        <w:rPr>
          <w:rFonts w:hint="eastAsia" w:ascii="仿宋" w:hAnsi="仿宋" w:eastAsia="仿宋" w:cs="仿宋"/>
          <w:color w:val="000000" w:themeColor="text1"/>
          <w:sz w:val="32"/>
          <w:szCs w:val="32"/>
          <w14:textFill>
            <w14:solidFill>
              <w14:schemeClr w14:val="tx1"/>
            </w14:solidFill>
          </w14:textFill>
        </w:rPr>
        <w:t xml:space="preserve"> 市海洋发展主管部门应当推动本市海洋种业科研机构、企业与山东自贸试验区相关片区及联动创新区建立紧密合作机制，开拓海洋种业发展协作平台。</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鼓励共享自贸试验区的海洋种质资源共享平台、“链上自贸”数字化贸易平台等公共服务资源，促进技术、信息、人才和资本等要素高效流动与优化配置。</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第二十八条</w:t>
      </w:r>
      <w:bookmarkStart w:id="10" w:name="OLE_LINK47"/>
      <w:r>
        <w:rPr>
          <w:rFonts w:hint="eastAsia" w:ascii="黑体" w:hAnsi="黑体" w:eastAsia="黑体" w:cs="黑体"/>
          <w:color w:val="000000" w:themeColor="text1"/>
          <w:sz w:val="32"/>
          <w:szCs w:val="32"/>
          <w14:textFill>
            <w14:solidFill>
              <w14:schemeClr w14:val="tx1"/>
            </w14:solidFill>
          </w14:textFill>
        </w:rPr>
        <w:t>〔国际交流</w:t>
      </w:r>
      <w:bookmarkEnd w:id="10"/>
      <w:r>
        <w:rPr>
          <w:rFonts w:hint="eastAsia" w:ascii="黑体" w:hAnsi="黑体" w:eastAsia="黑体" w:cs="黑体"/>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 xml:space="preserve"> 鼓励海洋种质科研单位和种业企业依法开展国际合作和交流，借鉴国外先进技术和交易模式，提升本市海洋种业发展国际化水平。</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第二十九条〔数智促进〕</w:t>
      </w:r>
      <w:r>
        <w:rPr>
          <w:rFonts w:hint="eastAsia" w:ascii="仿宋" w:hAnsi="仿宋" w:eastAsia="仿宋" w:cs="仿宋"/>
          <w:color w:val="000000" w:themeColor="text1"/>
          <w:sz w:val="32"/>
          <w:szCs w:val="32"/>
          <w14:textFill>
            <w14:solidFill>
              <w14:schemeClr w14:val="tx1"/>
            </w14:solidFill>
          </w14:textFill>
        </w:rPr>
        <w:t xml:space="preserve"> 市、区（县级市）人民政府应当推动物联网、互联网、大数据、人工智能等现代信息技术与海洋种业产业发展深度融合，提升智慧种业、数字种业水平。</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p>
    <w:p>
      <w:pPr>
        <w:spacing w:after="0" w:line="580" w:lineRule="exact"/>
        <w:ind w:firstLine="640" w:firstLineChars="200"/>
        <w:jc w:val="center"/>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第五章 扶持与保障</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 xml:space="preserve">第三十条〔要素保障〕 </w:t>
      </w:r>
      <w:r>
        <w:rPr>
          <w:rFonts w:hint="eastAsia" w:ascii="仿宋" w:hAnsi="仿宋" w:eastAsia="仿宋" w:cs="仿宋"/>
          <w:color w:val="000000" w:themeColor="text1"/>
          <w:sz w:val="32"/>
          <w:szCs w:val="32"/>
          <w14:textFill>
            <w14:solidFill>
              <w14:schemeClr w14:val="tx1"/>
            </w14:solidFill>
          </w14:textFill>
        </w:rPr>
        <w:t>编制国土空间规划时，应当统筹安排建设用地、设施用地、海域指标，重点保障海洋种业科研机构、海洋种质资源库、海洋水产原良种场、重点海洋种业园区等的合理用地用海需求。</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海洋水产养殖生产依法享受农业生产用水、用电等优惠政策。</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第三十一条〔财政支持〕</w:t>
      </w:r>
      <w:r>
        <w:rPr>
          <w:rFonts w:hint="eastAsia" w:ascii="仿宋" w:hAnsi="仿宋" w:eastAsia="仿宋" w:cs="仿宋"/>
          <w:color w:val="000000" w:themeColor="text1"/>
          <w:sz w:val="32"/>
          <w:szCs w:val="32"/>
          <w14:textFill>
            <w14:solidFill>
              <w14:schemeClr w14:val="tx1"/>
            </w14:solidFill>
          </w14:textFill>
        </w:rPr>
        <w:t xml:space="preserve"> 市、区（县级市）人民政府应当统筹安排财政资金，创新财政性资金投入方式，加大对海洋种业发展财政支持力度。</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对海洋水产新品种培育、国家级和省级水产原良种场建设、种质资源保护设施、育种研发基础设施等给予重点扶持。</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 xml:space="preserve">第三十二条〔鼓励社会资本投资〕 </w:t>
      </w:r>
      <w:r>
        <w:rPr>
          <w:rFonts w:hint="eastAsia" w:ascii="仿宋" w:hAnsi="仿宋" w:eastAsia="仿宋" w:cs="仿宋"/>
          <w:color w:val="000000" w:themeColor="text1"/>
          <w:sz w:val="32"/>
          <w:szCs w:val="32"/>
          <w14:textFill>
            <w14:solidFill>
              <w14:schemeClr w14:val="tx1"/>
            </w14:solidFill>
          </w14:textFill>
        </w:rPr>
        <w:t>鼓励天使投资、风险投资、耐心资本、长期资本创业投资基金、金融资产股权投资基金等投资支持种子期、初创期种业企业。</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 xml:space="preserve">第三十三条〔金融支持〕 </w:t>
      </w:r>
      <w:r>
        <w:rPr>
          <w:rFonts w:hint="eastAsia" w:ascii="仿宋" w:hAnsi="仿宋" w:eastAsia="仿宋" w:cs="仿宋"/>
          <w:color w:val="000000" w:themeColor="text1"/>
          <w:sz w:val="32"/>
          <w:szCs w:val="32"/>
          <w14:textFill>
            <w14:solidFill>
              <w14:schemeClr w14:val="tx1"/>
            </w14:solidFill>
          </w14:textFill>
        </w:rPr>
        <w:t>鼓励金融机构创新海洋种业发展金融服务产品和担保金融产品，为产业链上下游提供协同金融服务。</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鼓励开发海水养殖、海洋种业特色保险产品，增强海洋种业发展的抗风险能力。</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第三十四条〔人才激励〕</w:t>
      </w:r>
      <w:r>
        <w:rPr>
          <w:rFonts w:hint="eastAsia" w:ascii="仿宋" w:hAnsi="仿宋" w:eastAsia="仿宋" w:cs="仿宋"/>
          <w:color w:val="000000" w:themeColor="text1"/>
          <w:sz w:val="32"/>
          <w:szCs w:val="32"/>
          <w14:textFill>
            <w14:solidFill>
              <w14:schemeClr w14:val="tx1"/>
            </w14:solidFill>
          </w14:textFill>
        </w:rPr>
        <w:t xml:space="preserve"> 市、区（县级市）人民政府及其相关部门应当采取措施，加大海洋种业科技人才培养和引进，立足“投资于人”，做强人才支撑。</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鼓励科研院所、高等院校、种业企业引进海洋种业高层次人才和急需紧缺人才，种业企业与科研院所、高等院校等建立协同培养人才模式。</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对在海洋种业重大基础研究和前沿技术、解决重大技术难题中取得突破，在海洋种业发展事业中作出重大贡献的专业技术人才，可以按照有关规定直接申报高级职称评审，并在技术岗位聘用、行政奖励、生活帮扶等方面给予优先考虑。</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海洋种业高层次人才参加职称评审、参聘技术岗位等，可以按照有关规定放宽资历、年限等条件限制。海洋种业专业技术人员参与品种选育、试验审定以及种质资源保护鉴定利用等工作，其业绩作为职称评定、技术岗位聘用、行政奖励等的重要依据。</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 xml:space="preserve">第三十五条〔知产保护〕 </w:t>
      </w:r>
      <w:r>
        <w:rPr>
          <w:rFonts w:hint="eastAsia" w:ascii="仿宋" w:hAnsi="仿宋" w:eastAsia="仿宋" w:cs="仿宋"/>
          <w:color w:val="000000" w:themeColor="text1"/>
          <w:sz w:val="32"/>
          <w:szCs w:val="32"/>
          <w14:textFill>
            <w14:solidFill>
              <w14:schemeClr w14:val="tx1"/>
            </w14:solidFill>
          </w14:textFill>
        </w:rPr>
        <w:t>本市对与海洋种质相关的知识产权依法保护，纳入全市知识产权保护体系，加强跨区域跨部门联动保护和行政司法协同保护。</w:t>
      </w:r>
      <w:bookmarkStart w:id="11" w:name="OLE_LINK50"/>
      <w:bookmarkStart w:id="12" w:name="OLE_LINK49"/>
    </w:p>
    <w:p>
      <w:pPr>
        <w:pStyle w:val="15"/>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海洋发展主管部门、市场监管部门应当为海洋种业知识产权的创造、运用、保护等活动提供指导和服务。</w:t>
      </w:r>
      <w:bookmarkEnd w:id="11"/>
      <w:bookmarkEnd w:id="12"/>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 xml:space="preserve">第三十六条〔资源共享〕 </w:t>
      </w:r>
      <w:r>
        <w:rPr>
          <w:rFonts w:hint="eastAsia" w:ascii="仿宋" w:hAnsi="仿宋" w:eastAsia="仿宋" w:cs="仿宋"/>
          <w:color w:val="000000" w:themeColor="text1"/>
          <w:sz w:val="32"/>
          <w:szCs w:val="32"/>
          <w14:textFill>
            <w14:solidFill>
              <w14:schemeClr w14:val="tx1"/>
            </w14:solidFill>
          </w14:textFill>
        </w:rPr>
        <w:t>市海洋发展主管部门应当推动建立海洋种质资源共享平台，建立完善资源登记、信息发布和开放共享机制。</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 xml:space="preserve">第三十七条〔数据赋能与信息化服务〕 </w:t>
      </w:r>
      <w:r>
        <w:rPr>
          <w:rFonts w:hint="eastAsia" w:ascii="仿宋" w:hAnsi="仿宋" w:eastAsia="仿宋" w:cs="仿宋"/>
          <w:color w:val="000000" w:themeColor="text1"/>
          <w:sz w:val="32"/>
          <w:szCs w:val="32"/>
          <w14:textFill>
            <w14:solidFill>
              <w14:schemeClr w14:val="tx1"/>
            </w14:solidFill>
          </w14:textFill>
        </w:rPr>
        <w:t>市海洋发展主管部门应当会同大数据等有关部门建设海洋种业信息化服务平台，加强种质资源、育种、生产等数据要素的采集、治理、共享与应用，促进全市海洋种业数据信息整合与开放共享，构建数据驱动的种业管理与创新服务体系。</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 xml:space="preserve">第三十八条〔法治化营商环境保障〕 </w:t>
      </w:r>
      <w:r>
        <w:rPr>
          <w:rFonts w:hint="eastAsia" w:ascii="仿宋" w:hAnsi="仿宋" w:eastAsia="仿宋" w:cs="仿宋"/>
          <w:color w:val="000000" w:themeColor="text1"/>
          <w:sz w:val="32"/>
          <w:szCs w:val="32"/>
          <w14:textFill>
            <w14:solidFill>
              <w14:schemeClr w14:val="tx1"/>
            </w14:solidFill>
          </w14:textFill>
        </w:rPr>
        <w:t>本市建立健全纠纷多元化解决机制，推动和解、调解、行政裁决、仲裁、诉讼等纠纷解决途径有效衔接，及时化解涉海洋种业发展纠纷。</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市、区（县级市）人民政府及其有关部门应当整合法律服务资源，为海洋种业发展创造优质高效便捷的法律服务环境。</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第三十九条〔监管保障</w:t>
      </w:r>
      <w:bookmarkStart w:id="13" w:name="OLE_LINK51"/>
      <w:r>
        <w:rPr>
          <w:rFonts w:hint="eastAsia" w:ascii="黑体" w:hAnsi="黑体" w:eastAsia="黑体" w:cs="黑体"/>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 xml:space="preserve"> 海洋发展主管部门和有关行政执法部门应当</w:t>
      </w:r>
      <w:bookmarkEnd w:id="13"/>
      <w:r>
        <w:rPr>
          <w:rFonts w:hint="eastAsia" w:ascii="仿宋" w:hAnsi="仿宋" w:eastAsia="仿宋" w:cs="仿宋"/>
          <w:color w:val="000000" w:themeColor="text1"/>
          <w:sz w:val="32"/>
          <w:szCs w:val="32"/>
          <w14:textFill>
            <w14:solidFill>
              <w14:schemeClr w14:val="tx1"/>
            </w14:solidFill>
          </w14:textFill>
        </w:rPr>
        <w:t>按照各自职责，强化海洋种业监管执法，依法查处海洋种业领域违法行为，维护良好海洋种业发展环境。</w:t>
      </w:r>
    </w:p>
    <w:p>
      <w:pPr>
        <w:pStyle w:val="2"/>
        <w:spacing w:after="0" w:line="580" w:lineRule="exact"/>
        <w:ind w:left="0" w:leftChars="0"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海洋发展主管部门和有关行政执法部门应当坚持服务型执法理念，为海洋种业发展不断优化行政执法营商环境。</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第四十条〔信用监管〕</w:t>
      </w:r>
      <w:r>
        <w:rPr>
          <w:rFonts w:hint="eastAsia" w:ascii="仿宋" w:hAnsi="仿宋" w:eastAsia="仿宋" w:cs="仿宋"/>
          <w:color w:val="000000" w:themeColor="text1"/>
          <w:sz w:val="32"/>
          <w:szCs w:val="32"/>
          <w14:textFill>
            <w14:solidFill>
              <w14:schemeClr w14:val="tx1"/>
            </w14:solidFill>
          </w14:textFill>
        </w:rPr>
        <w:t xml:space="preserve"> 市海洋发展主管部门应当</w:t>
      </w:r>
      <w:r>
        <w:rPr>
          <w:rFonts w:hint="eastAsia" w:ascii="仿宋" w:hAnsi="仿宋" w:eastAsia="仿宋" w:cs="仿宋"/>
          <w:color w:val="000000" w:themeColor="text1"/>
          <w:sz w:val="32"/>
          <w:szCs w:val="32"/>
          <w:lang w:eastAsia="zh-CN"/>
          <w14:textFill>
            <w14:solidFill>
              <w14:schemeClr w14:val="tx1"/>
            </w14:solidFill>
          </w14:textFill>
        </w:rPr>
        <w:t>会同有关部门</w:t>
      </w:r>
      <w:r>
        <w:rPr>
          <w:rFonts w:hint="eastAsia" w:ascii="仿宋" w:hAnsi="仿宋" w:eastAsia="仿宋" w:cs="仿宋"/>
          <w:color w:val="000000" w:themeColor="text1"/>
          <w:sz w:val="32"/>
          <w:szCs w:val="32"/>
          <w14:textFill>
            <w14:solidFill>
              <w14:schemeClr w14:val="tx1"/>
            </w14:solidFill>
          </w14:textFill>
        </w:rPr>
        <w:t>加强海洋种业领域的信用制度建设，建立海洋种质生产经营信用记录，完善失信惩戒、守信激励以及信用修复机制。</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第四十一条〔容错机制〕</w:t>
      </w:r>
      <w:r>
        <w:rPr>
          <w:rFonts w:hint="eastAsia" w:ascii="仿宋" w:hAnsi="仿宋" w:eastAsia="仿宋" w:cs="仿宋"/>
          <w:color w:val="000000" w:themeColor="text1"/>
          <w:sz w:val="32"/>
          <w:szCs w:val="32"/>
          <w14:textFill>
            <w14:solidFill>
              <w14:schemeClr w14:val="tx1"/>
            </w14:solidFill>
          </w14:textFill>
        </w:rPr>
        <w:t xml:space="preserve"> 市、区（县级市）人民政府及其有关部门应当建立健全鼓励创新、宽容失败的制度机制，对海洋种业发展中的新技术、新产业、新业态、新模式实行包容审慎监管。</w:t>
      </w:r>
    </w:p>
    <w:p>
      <w:pPr>
        <w:spacing w:after="0" w:line="580" w:lineRule="exact"/>
        <w:ind w:firstLine="640" w:firstLineChars="200"/>
        <w:jc w:val="center"/>
        <w:rPr>
          <w:rFonts w:ascii="仿宋" w:hAnsi="仿宋" w:eastAsia="仿宋" w:cs="仿宋"/>
          <w:color w:val="000000" w:themeColor="text1"/>
          <w:sz w:val="32"/>
          <w:szCs w:val="32"/>
          <w14:textFill>
            <w14:solidFill>
              <w14:schemeClr w14:val="tx1"/>
            </w14:solidFill>
          </w14:textFill>
        </w:rPr>
      </w:pPr>
    </w:p>
    <w:p>
      <w:pPr>
        <w:spacing w:after="0" w:line="580" w:lineRule="exact"/>
        <w:ind w:firstLine="640" w:firstLineChars="200"/>
        <w:jc w:val="center"/>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第六章 附 则</w:t>
      </w: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p>
    <w:p>
      <w:pPr>
        <w:spacing w:after="0" w:line="58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第四十二条〔施行日期〕</w:t>
      </w:r>
      <w:r>
        <w:rPr>
          <w:rFonts w:hint="eastAsia" w:ascii="仿宋" w:hAnsi="仿宋" w:eastAsia="仿宋" w:cs="仿宋"/>
          <w:color w:val="000000" w:themeColor="text1"/>
          <w:sz w:val="32"/>
          <w:szCs w:val="32"/>
          <w14:textFill>
            <w14:solidFill>
              <w14:schemeClr w14:val="tx1"/>
            </w14:solidFill>
          </w14:textFill>
        </w:rPr>
        <w:t xml:space="preserve"> 本条例自 年 月 日起施行。</w:t>
      </w:r>
    </w:p>
    <w:p>
      <w:pPr>
        <w:pStyle w:val="2"/>
        <w:spacing w:after="0" w:line="580" w:lineRule="exact"/>
        <w:ind w:left="0" w:leftChars="0" w:firstLine="0" w:firstLineChars="0"/>
        <w:rPr>
          <w:rFonts w:ascii="仿宋" w:hAnsi="仿宋" w:eastAsia="仿宋" w:cs="仿宋"/>
          <w:color w:val="000000" w:themeColor="text1"/>
          <w:sz w:val="32"/>
          <w:szCs w:val="32"/>
          <w14:textFill>
            <w14:solidFill>
              <w14:schemeClr w14:val="tx1"/>
            </w14:solidFill>
          </w14:textFill>
        </w:rPr>
      </w:pPr>
    </w:p>
    <w:sectPr>
      <w:footerReference r:id="rId5" w:type="default"/>
      <w:pgSz w:w="11906" w:h="16838"/>
      <w:pgMar w:top="2098" w:right="1474" w:bottom="1984"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libri Light">
    <w:altName w:val="DejaVu Sans"/>
    <w:panose1 w:val="020F0302020204030204"/>
    <w:charset w:val="00"/>
    <w:family w:val="swiss"/>
    <w:pitch w:val="default"/>
    <w:sig w:usb0="00000000" w:usb1="00000000" w:usb2="00000009" w:usb3="00000000" w:csb0="000001FF"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9525">
                        <a:noFill/>
                      </a:ln>
                    </wps:spPr>
                    <wps:txbx>
                      <w:txbxContent>
                        <w:p>
                          <w:pPr>
                            <w:pStyle w:val="17"/>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wps:txbx>
                    <wps:bodyPr vert="horz" wrap="none" lIns="0" tIns="0" rIns="0" bIns="0" anchor="t" anchorCtr="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FgAAAGRycy9QSwECFAAUAAAACACHTuJAzql5uc8AAAAFAQAADwAAAAAAAAAB&#10;ACAAAAA4AAAAZHJzL2Rvd25yZXYueG1sUEsBAhQAFAAAAAgAh07iQPyM/vfKAQAAdAMAAA4AAAAA&#10;AAAAAQAgAAAANAEAAGRycy9lMm9Eb2MueG1sUEsFBgAAAAAGAAYAWQEAAHAFAAAAAA==&#10;">
              <v:fill on="f" focussize="0,0"/>
              <v:stroke on="f"/>
              <v:imagedata o:title=""/>
              <o:lock v:ext="edit" aspectratio="f"/>
              <v:textbox inset="0mm,0mm,0mm,0mm" style="mso-fit-shape-to-text:t;">
                <w:txbxContent>
                  <w:p>
                    <w:pPr>
                      <w:pStyle w:val="17"/>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documentProtection w:enforcement="0"/>
  <w:defaultTabStop w:val="420"/>
  <w:drawingGridVerticalSpacing w:val="156"/>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51A6"/>
    <w:rsid w:val="00011CB0"/>
    <w:rsid w:val="000408DD"/>
    <w:rsid w:val="00044467"/>
    <w:rsid w:val="00047C61"/>
    <w:rsid w:val="00050BC1"/>
    <w:rsid w:val="00053135"/>
    <w:rsid w:val="00056218"/>
    <w:rsid w:val="000634D7"/>
    <w:rsid w:val="00075866"/>
    <w:rsid w:val="00080CF0"/>
    <w:rsid w:val="0009190E"/>
    <w:rsid w:val="00091F6F"/>
    <w:rsid w:val="00093140"/>
    <w:rsid w:val="000972A5"/>
    <w:rsid w:val="000A0FBF"/>
    <w:rsid w:val="000B1957"/>
    <w:rsid w:val="000B1F69"/>
    <w:rsid w:val="000B2AF2"/>
    <w:rsid w:val="000B5EA1"/>
    <w:rsid w:val="000D139C"/>
    <w:rsid w:val="000D3142"/>
    <w:rsid w:val="000D412E"/>
    <w:rsid w:val="000E06F2"/>
    <w:rsid w:val="000E44BD"/>
    <w:rsid w:val="000F324C"/>
    <w:rsid w:val="000F530C"/>
    <w:rsid w:val="000F75E1"/>
    <w:rsid w:val="00101BBE"/>
    <w:rsid w:val="00102048"/>
    <w:rsid w:val="0010326F"/>
    <w:rsid w:val="0010501C"/>
    <w:rsid w:val="001128BA"/>
    <w:rsid w:val="00113955"/>
    <w:rsid w:val="00125B39"/>
    <w:rsid w:val="001303D9"/>
    <w:rsid w:val="00135E8A"/>
    <w:rsid w:val="00150138"/>
    <w:rsid w:val="001544EB"/>
    <w:rsid w:val="0016531A"/>
    <w:rsid w:val="00167146"/>
    <w:rsid w:val="0017179D"/>
    <w:rsid w:val="0017356A"/>
    <w:rsid w:val="00176315"/>
    <w:rsid w:val="0017647B"/>
    <w:rsid w:val="0018571D"/>
    <w:rsid w:val="001A78E3"/>
    <w:rsid w:val="001B0DAB"/>
    <w:rsid w:val="001B1901"/>
    <w:rsid w:val="001B582D"/>
    <w:rsid w:val="001B5BCE"/>
    <w:rsid w:val="001E1A37"/>
    <w:rsid w:val="001E7323"/>
    <w:rsid w:val="001F0242"/>
    <w:rsid w:val="001F1655"/>
    <w:rsid w:val="001F6BA9"/>
    <w:rsid w:val="001F791E"/>
    <w:rsid w:val="002017A1"/>
    <w:rsid w:val="00206FA8"/>
    <w:rsid w:val="0021042E"/>
    <w:rsid w:val="00210B6D"/>
    <w:rsid w:val="00210C90"/>
    <w:rsid w:val="0021181D"/>
    <w:rsid w:val="002132C7"/>
    <w:rsid w:val="00215523"/>
    <w:rsid w:val="0022146B"/>
    <w:rsid w:val="00222FAD"/>
    <w:rsid w:val="00235351"/>
    <w:rsid w:val="00237001"/>
    <w:rsid w:val="00245399"/>
    <w:rsid w:val="00254D47"/>
    <w:rsid w:val="00260652"/>
    <w:rsid w:val="00265B7E"/>
    <w:rsid w:val="002707FF"/>
    <w:rsid w:val="002753EA"/>
    <w:rsid w:val="00276EEB"/>
    <w:rsid w:val="0028481A"/>
    <w:rsid w:val="00284DDB"/>
    <w:rsid w:val="00287F70"/>
    <w:rsid w:val="00290BE4"/>
    <w:rsid w:val="002934D0"/>
    <w:rsid w:val="002A1EDD"/>
    <w:rsid w:val="002B7C4E"/>
    <w:rsid w:val="002D5B4C"/>
    <w:rsid w:val="002D7E6E"/>
    <w:rsid w:val="002E15E5"/>
    <w:rsid w:val="002E5360"/>
    <w:rsid w:val="002F03D1"/>
    <w:rsid w:val="002F42C7"/>
    <w:rsid w:val="002F7DD6"/>
    <w:rsid w:val="0030196E"/>
    <w:rsid w:val="003242D9"/>
    <w:rsid w:val="00341320"/>
    <w:rsid w:val="003522B7"/>
    <w:rsid w:val="0035559B"/>
    <w:rsid w:val="00364778"/>
    <w:rsid w:val="00365F08"/>
    <w:rsid w:val="00386524"/>
    <w:rsid w:val="003948CE"/>
    <w:rsid w:val="00394B1C"/>
    <w:rsid w:val="003A14D6"/>
    <w:rsid w:val="003B1BFD"/>
    <w:rsid w:val="003C53CC"/>
    <w:rsid w:val="003D2A8D"/>
    <w:rsid w:val="003D2B23"/>
    <w:rsid w:val="003E0E09"/>
    <w:rsid w:val="003E706E"/>
    <w:rsid w:val="004256AC"/>
    <w:rsid w:val="004422A7"/>
    <w:rsid w:val="004502A0"/>
    <w:rsid w:val="0045034A"/>
    <w:rsid w:val="004544EC"/>
    <w:rsid w:val="00460725"/>
    <w:rsid w:val="00461A44"/>
    <w:rsid w:val="004636AC"/>
    <w:rsid w:val="00465FBC"/>
    <w:rsid w:val="00467BE9"/>
    <w:rsid w:val="0047716C"/>
    <w:rsid w:val="004837BC"/>
    <w:rsid w:val="004A402F"/>
    <w:rsid w:val="004B1E55"/>
    <w:rsid w:val="004B6A2D"/>
    <w:rsid w:val="004C091C"/>
    <w:rsid w:val="004D2D3E"/>
    <w:rsid w:val="004D5216"/>
    <w:rsid w:val="004D7AA4"/>
    <w:rsid w:val="004E1580"/>
    <w:rsid w:val="0050487B"/>
    <w:rsid w:val="00510CEB"/>
    <w:rsid w:val="00511745"/>
    <w:rsid w:val="00520A9F"/>
    <w:rsid w:val="00527E87"/>
    <w:rsid w:val="0054094C"/>
    <w:rsid w:val="00542207"/>
    <w:rsid w:val="00547DE9"/>
    <w:rsid w:val="00555A49"/>
    <w:rsid w:val="00561452"/>
    <w:rsid w:val="005639B1"/>
    <w:rsid w:val="00572718"/>
    <w:rsid w:val="00575B30"/>
    <w:rsid w:val="005763D9"/>
    <w:rsid w:val="00583745"/>
    <w:rsid w:val="005855BE"/>
    <w:rsid w:val="00590979"/>
    <w:rsid w:val="00597BF8"/>
    <w:rsid w:val="005B7EDD"/>
    <w:rsid w:val="005C03BF"/>
    <w:rsid w:val="005C58D8"/>
    <w:rsid w:val="005C5FD4"/>
    <w:rsid w:val="005D0DFC"/>
    <w:rsid w:val="005D298F"/>
    <w:rsid w:val="005D485E"/>
    <w:rsid w:val="005F2806"/>
    <w:rsid w:val="005F68DA"/>
    <w:rsid w:val="006078D1"/>
    <w:rsid w:val="006106A8"/>
    <w:rsid w:val="00612391"/>
    <w:rsid w:val="006175D1"/>
    <w:rsid w:val="00625126"/>
    <w:rsid w:val="00653316"/>
    <w:rsid w:val="006664C6"/>
    <w:rsid w:val="006800CF"/>
    <w:rsid w:val="00682531"/>
    <w:rsid w:val="0069082B"/>
    <w:rsid w:val="0069286E"/>
    <w:rsid w:val="006A22D0"/>
    <w:rsid w:val="006A5174"/>
    <w:rsid w:val="006A6EF9"/>
    <w:rsid w:val="006B0328"/>
    <w:rsid w:val="006B1362"/>
    <w:rsid w:val="006B4084"/>
    <w:rsid w:val="006C3F39"/>
    <w:rsid w:val="006D4B0C"/>
    <w:rsid w:val="006E06E9"/>
    <w:rsid w:val="006E1BA1"/>
    <w:rsid w:val="006E57B3"/>
    <w:rsid w:val="006F3F2B"/>
    <w:rsid w:val="006F5D2A"/>
    <w:rsid w:val="007042D3"/>
    <w:rsid w:val="0071167C"/>
    <w:rsid w:val="00716735"/>
    <w:rsid w:val="00725C7C"/>
    <w:rsid w:val="00727344"/>
    <w:rsid w:val="0074784A"/>
    <w:rsid w:val="00747B4D"/>
    <w:rsid w:val="00750150"/>
    <w:rsid w:val="00751851"/>
    <w:rsid w:val="00770714"/>
    <w:rsid w:val="007831C4"/>
    <w:rsid w:val="00791CDA"/>
    <w:rsid w:val="007A2E39"/>
    <w:rsid w:val="007A3A15"/>
    <w:rsid w:val="007B21A7"/>
    <w:rsid w:val="007B55C2"/>
    <w:rsid w:val="007B6B54"/>
    <w:rsid w:val="007D3984"/>
    <w:rsid w:val="007D791E"/>
    <w:rsid w:val="007E1900"/>
    <w:rsid w:val="007E7525"/>
    <w:rsid w:val="007F2BF2"/>
    <w:rsid w:val="007F4B32"/>
    <w:rsid w:val="007F51A6"/>
    <w:rsid w:val="00801077"/>
    <w:rsid w:val="008142DC"/>
    <w:rsid w:val="0084674C"/>
    <w:rsid w:val="008655F3"/>
    <w:rsid w:val="00866B1E"/>
    <w:rsid w:val="0086701F"/>
    <w:rsid w:val="0089559E"/>
    <w:rsid w:val="008964C8"/>
    <w:rsid w:val="008B0CEF"/>
    <w:rsid w:val="008C0970"/>
    <w:rsid w:val="008C24AF"/>
    <w:rsid w:val="008D5DCC"/>
    <w:rsid w:val="008D652E"/>
    <w:rsid w:val="008E234E"/>
    <w:rsid w:val="008E7F0E"/>
    <w:rsid w:val="008F0F24"/>
    <w:rsid w:val="008F771E"/>
    <w:rsid w:val="009022BC"/>
    <w:rsid w:val="00913B5B"/>
    <w:rsid w:val="00914A28"/>
    <w:rsid w:val="00916C01"/>
    <w:rsid w:val="0093190C"/>
    <w:rsid w:val="00931EC7"/>
    <w:rsid w:val="00933CA6"/>
    <w:rsid w:val="00936539"/>
    <w:rsid w:val="0093676E"/>
    <w:rsid w:val="009423D7"/>
    <w:rsid w:val="009566DB"/>
    <w:rsid w:val="00966AB5"/>
    <w:rsid w:val="0097381E"/>
    <w:rsid w:val="00973BE8"/>
    <w:rsid w:val="00983783"/>
    <w:rsid w:val="00986B9C"/>
    <w:rsid w:val="0099065F"/>
    <w:rsid w:val="009923F1"/>
    <w:rsid w:val="009A5D92"/>
    <w:rsid w:val="009E39A8"/>
    <w:rsid w:val="009E43F9"/>
    <w:rsid w:val="009F59EB"/>
    <w:rsid w:val="00A052D9"/>
    <w:rsid w:val="00A30119"/>
    <w:rsid w:val="00A4619C"/>
    <w:rsid w:val="00A56AF8"/>
    <w:rsid w:val="00A77749"/>
    <w:rsid w:val="00A84E39"/>
    <w:rsid w:val="00A93798"/>
    <w:rsid w:val="00AA3884"/>
    <w:rsid w:val="00AA6997"/>
    <w:rsid w:val="00AB57B9"/>
    <w:rsid w:val="00AC0173"/>
    <w:rsid w:val="00AC52D8"/>
    <w:rsid w:val="00AC6818"/>
    <w:rsid w:val="00AC755A"/>
    <w:rsid w:val="00AC7600"/>
    <w:rsid w:val="00AD57F9"/>
    <w:rsid w:val="00AE40B1"/>
    <w:rsid w:val="00AE4E2D"/>
    <w:rsid w:val="00AE656F"/>
    <w:rsid w:val="00B043C4"/>
    <w:rsid w:val="00B10111"/>
    <w:rsid w:val="00B107CF"/>
    <w:rsid w:val="00B20C2B"/>
    <w:rsid w:val="00B27320"/>
    <w:rsid w:val="00B2736A"/>
    <w:rsid w:val="00B356FA"/>
    <w:rsid w:val="00B46859"/>
    <w:rsid w:val="00B50A9F"/>
    <w:rsid w:val="00B5342B"/>
    <w:rsid w:val="00B6144B"/>
    <w:rsid w:val="00B66DEB"/>
    <w:rsid w:val="00B70277"/>
    <w:rsid w:val="00B707DE"/>
    <w:rsid w:val="00B74754"/>
    <w:rsid w:val="00B7556D"/>
    <w:rsid w:val="00B90FBA"/>
    <w:rsid w:val="00B94571"/>
    <w:rsid w:val="00B977EB"/>
    <w:rsid w:val="00BA6752"/>
    <w:rsid w:val="00BB09A2"/>
    <w:rsid w:val="00BB13E4"/>
    <w:rsid w:val="00BB66B3"/>
    <w:rsid w:val="00BC1B6E"/>
    <w:rsid w:val="00BC1EDC"/>
    <w:rsid w:val="00BC50CB"/>
    <w:rsid w:val="00BC5377"/>
    <w:rsid w:val="00BC68ED"/>
    <w:rsid w:val="00BE15A9"/>
    <w:rsid w:val="00BF1DC2"/>
    <w:rsid w:val="00BF5956"/>
    <w:rsid w:val="00BF798A"/>
    <w:rsid w:val="00C33AA9"/>
    <w:rsid w:val="00C412C7"/>
    <w:rsid w:val="00C45182"/>
    <w:rsid w:val="00C47E19"/>
    <w:rsid w:val="00C525B1"/>
    <w:rsid w:val="00C53086"/>
    <w:rsid w:val="00C5434A"/>
    <w:rsid w:val="00C60283"/>
    <w:rsid w:val="00C60D53"/>
    <w:rsid w:val="00C64961"/>
    <w:rsid w:val="00C64E8F"/>
    <w:rsid w:val="00C65E95"/>
    <w:rsid w:val="00C76259"/>
    <w:rsid w:val="00C83906"/>
    <w:rsid w:val="00C84CB5"/>
    <w:rsid w:val="00C85EF0"/>
    <w:rsid w:val="00C96861"/>
    <w:rsid w:val="00CA079F"/>
    <w:rsid w:val="00CA1378"/>
    <w:rsid w:val="00CA7564"/>
    <w:rsid w:val="00CA7CA8"/>
    <w:rsid w:val="00CB3E96"/>
    <w:rsid w:val="00CB5DDA"/>
    <w:rsid w:val="00CC620E"/>
    <w:rsid w:val="00CD309B"/>
    <w:rsid w:val="00CD6921"/>
    <w:rsid w:val="00CE1605"/>
    <w:rsid w:val="00D06B15"/>
    <w:rsid w:val="00D15B9D"/>
    <w:rsid w:val="00D247D1"/>
    <w:rsid w:val="00D51F3C"/>
    <w:rsid w:val="00D52FC3"/>
    <w:rsid w:val="00D60E39"/>
    <w:rsid w:val="00D74258"/>
    <w:rsid w:val="00D814AA"/>
    <w:rsid w:val="00D81DD3"/>
    <w:rsid w:val="00D876AF"/>
    <w:rsid w:val="00D9097B"/>
    <w:rsid w:val="00D96AF6"/>
    <w:rsid w:val="00DB6E56"/>
    <w:rsid w:val="00DC653D"/>
    <w:rsid w:val="00DD5E97"/>
    <w:rsid w:val="00DE2431"/>
    <w:rsid w:val="00DF7AE3"/>
    <w:rsid w:val="00E01899"/>
    <w:rsid w:val="00E0529D"/>
    <w:rsid w:val="00E33420"/>
    <w:rsid w:val="00E36FBC"/>
    <w:rsid w:val="00E43203"/>
    <w:rsid w:val="00E45796"/>
    <w:rsid w:val="00E50C32"/>
    <w:rsid w:val="00E51BF4"/>
    <w:rsid w:val="00E553DC"/>
    <w:rsid w:val="00E62620"/>
    <w:rsid w:val="00E63E48"/>
    <w:rsid w:val="00E65710"/>
    <w:rsid w:val="00E65BDC"/>
    <w:rsid w:val="00E66724"/>
    <w:rsid w:val="00E704BE"/>
    <w:rsid w:val="00E7204D"/>
    <w:rsid w:val="00E7493E"/>
    <w:rsid w:val="00E80FC6"/>
    <w:rsid w:val="00E81B9F"/>
    <w:rsid w:val="00E81E42"/>
    <w:rsid w:val="00E85325"/>
    <w:rsid w:val="00E85EEE"/>
    <w:rsid w:val="00EA65F9"/>
    <w:rsid w:val="00EB30AB"/>
    <w:rsid w:val="00EB3447"/>
    <w:rsid w:val="00ED3D40"/>
    <w:rsid w:val="00ED47F8"/>
    <w:rsid w:val="00EE0709"/>
    <w:rsid w:val="00EE58B5"/>
    <w:rsid w:val="00EF1916"/>
    <w:rsid w:val="00EF25AD"/>
    <w:rsid w:val="00EF3F89"/>
    <w:rsid w:val="00EF79A1"/>
    <w:rsid w:val="00F0432B"/>
    <w:rsid w:val="00F1605B"/>
    <w:rsid w:val="00F17DAB"/>
    <w:rsid w:val="00F21E76"/>
    <w:rsid w:val="00F321D4"/>
    <w:rsid w:val="00F343E3"/>
    <w:rsid w:val="00F46D5C"/>
    <w:rsid w:val="00F6038D"/>
    <w:rsid w:val="00F65087"/>
    <w:rsid w:val="00F662A9"/>
    <w:rsid w:val="00F73B4C"/>
    <w:rsid w:val="00F836D7"/>
    <w:rsid w:val="00F93884"/>
    <w:rsid w:val="00F94AF9"/>
    <w:rsid w:val="00FA5AAF"/>
    <w:rsid w:val="00FC1D7E"/>
    <w:rsid w:val="00FC4AAC"/>
    <w:rsid w:val="00FC6B8E"/>
    <w:rsid w:val="00FD054B"/>
    <w:rsid w:val="00FF5424"/>
    <w:rsid w:val="296DBFC4"/>
    <w:rsid w:val="2EFCAC44"/>
    <w:rsid w:val="2FE9CD31"/>
    <w:rsid w:val="3BF992C9"/>
    <w:rsid w:val="3DFF643C"/>
    <w:rsid w:val="3FBF4CFC"/>
    <w:rsid w:val="47DBB59A"/>
    <w:rsid w:val="75F3E789"/>
    <w:rsid w:val="75FAFDA8"/>
    <w:rsid w:val="77EE2C55"/>
    <w:rsid w:val="77F59A97"/>
    <w:rsid w:val="797BC33B"/>
    <w:rsid w:val="7A8E8877"/>
    <w:rsid w:val="7BFB936F"/>
    <w:rsid w:val="7CDD0FB7"/>
    <w:rsid w:val="7D7B6B0D"/>
    <w:rsid w:val="7EFB0BD3"/>
    <w:rsid w:val="7FFF296B"/>
    <w:rsid w:val="7FFF85BB"/>
    <w:rsid w:val="9FADEC16"/>
    <w:rsid w:val="B37B206C"/>
    <w:rsid w:val="B8F90DB6"/>
    <w:rsid w:val="BBFEF877"/>
    <w:rsid w:val="BD57A8C8"/>
    <w:rsid w:val="BDDF5B94"/>
    <w:rsid w:val="BF6F2B7D"/>
    <w:rsid w:val="DA7301BE"/>
    <w:rsid w:val="DBD2919D"/>
    <w:rsid w:val="DDE7E0F3"/>
    <w:rsid w:val="DE7E9F6B"/>
    <w:rsid w:val="ED1F7024"/>
    <w:rsid w:val="EFDF80EF"/>
    <w:rsid w:val="F6FF5BB4"/>
    <w:rsid w:val="F7DF7832"/>
    <w:rsid w:val="F7F7970F"/>
    <w:rsid w:val="F9B3A4BF"/>
    <w:rsid w:val="FBEFDD66"/>
    <w:rsid w:val="FEFF6DDC"/>
    <w:rsid w:val="FF7B809D"/>
    <w:rsid w:val="FFFA0231"/>
    <w:rsid w:val="FFFD7F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heme="minorHAnsi" w:hAnsiTheme="minorHAnsi" w:eastAsiaTheme="minorEastAsia" w:cstheme="minorBidi"/>
      <w:kern w:val="2"/>
      <w:sz w:val="21"/>
      <w:szCs w:val="24"/>
      <w:lang w:val="en-US" w:eastAsia="zh-CN" w:bidi="ar-SA"/>
    </w:rPr>
  </w:style>
  <w:style w:type="paragraph" w:styleId="5">
    <w:name w:val="heading 1"/>
    <w:basedOn w:val="1"/>
    <w:next w:val="1"/>
    <w:link w:val="41"/>
    <w:qFormat/>
    <w:uiPriority w:val="0"/>
    <w:pPr>
      <w:keepNext/>
      <w:keepLines/>
      <w:spacing w:before="480" w:after="80"/>
      <w:outlineLvl w:val="0"/>
    </w:pPr>
    <w:rPr>
      <w:rFonts w:asciiTheme="majorHAnsi" w:hAnsiTheme="majorHAnsi" w:eastAsiaTheme="majorEastAsia" w:cstheme="majorBidi"/>
      <w:color w:val="2E54A1" w:themeColor="accent1" w:themeShade="BF"/>
      <w:sz w:val="48"/>
      <w:szCs w:val="48"/>
    </w:rPr>
  </w:style>
  <w:style w:type="paragraph" w:styleId="6">
    <w:name w:val="heading 2"/>
    <w:basedOn w:val="1"/>
    <w:next w:val="1"/>
    <w:link w:val="42"/>
    <w:semiHidden/>
    <w:unhideWhenUsed/>
    <w:qFormat/>
    <w:uiPriority w:val="0"/>
    <w:pPr>
      <w:keepNext/>
      <w:keepLines/>
      <w:spacing w:before="160" w:after="80"/>
      <w:outlineLvl w:val="1"/>
    </w:pPr>
    <w:rPr>
      <w:rFonts w:asciiTheme="majorHAnsi" w:hAnsiTheme="majorHAnsi" w:eastAsiaTheme="majorEastAsia" w:cstheme="majorBidi"/>
      <w:color w:val="2E54A1" w:themeColor="accent1" w:themeShade="BF"/>
      <w:sz w:val="40"/>
      <w:szCs w:val="40"/>
    </w:rPr>
  </w:style>
  <w:style w:type="paragraph" w:styleId="7">
    <w:name w:val="heading 3"/>
    <w:basedOn w:val="1"/>
    <w:next w:val="1"/>
    <w:link w:val="43"/>
    <w:semiHidden/>
    <w:unhideWhenUsed/>
    <w:qFormat/>
    <w:uiPriority w:val="0"/>
    <w:pPr>
      <w:keepNext/>
      <w:keepLines/>
      <w:spacing w:before="160" w:after="80"/>
      <w:outlineLvl w:val="2"/>
    </w:pPr>
    <w:rPr>
      <w:rFonts w:asciiTheme="majorHAnsi" w:hAnsiTheme="majorHAnsi" w:eastAsiaTheme="majorEastAsia" w:cstheme="majorBidi"/>
      <w:color w:val="2E54A1" w:themeColor="accent1" w:themeShade="BF"/>
      <w:sz w:val="32"/>
      <w:szCs w:val="32"/>
    </w:rPr>
  </w:style>
  <w:style w:type="paragraph" w:styleId="8">
    <w:name w:val="heading 4"/>
    <w:basedOn w:val="1"/>
    <w:next w:val="1"/>
    <w:link w:val="44"/>
    <w:semiHidden/>
    <w:unhideWhenUsed/>
    <w:qFormat/>
    <w:uiPriority w:val="0"/>
    <w:pPr>
      <w:keepNext/>
      <w:keepLines/>
      <w:spacing w:before="80" w:after="40"/>
      <w:outlineLvl w:val="3"/>
    </w:pPr>
    <w:rPr>
      <w:rFonts w:cstheme="majorBidi"/>
      <w:color w:val="2E54A1" w:themeColor="accent1" w:themeShade="BF"/>
      <w:sz w:val="28"/>
      <w:szCs w:val="28"/>
    </w:rPr>
  </w:style>
  <w:style w:type="paragraph" w:styleId="9">
    <w:name w:val="heading 5"/>
    <w:basedOn w:val="1"/>
    <w:next w:val="1"/>
    <w:link w:val="45"/>
    <w:semiHidden/>
    <w:unhideWhenUsed/>
    <w:qFormat/>
    <w:uiPriority w:val="0"/>
    <w:pPr>
      <w:keepNext/>
      <w:keepLines/>
      <w:spacing w:before="80" w:after="40"/>
      <w:outlineLvl w:val="4"/>
    </w:pPr>
    <w:rPr>
      <w:rFonts w:cstheme="majorBidi"/>
      <w:color w:val="2E54A1" w:themeColor="accent1" w:themeShade="BF"/>
      <w:sz w:val="24"/>
    </w:rPr>
  </w:style>
  <w:style w:type="paragraph" w:styleId="10">
    <w:name w:val="heading 6"/>
    <w:basedOn w:val="1"/>
    <w:next w:val="1"/>
    <w:link w:val="46"/>
    <w:semiHidden/>
    <w:unhideWhenUsed/>
    <w:qFormat/>
    <w:uiPriority w:val="0"/>
    <w:pPr>
      <w:keepNext/>
      <w:keepLines/>
      <w:spacing w:before="40"/>
      <w:outlineLvl w:val="5"/>
    </w:pPr>
    <w:rPr>
      <w:rFonts w:cstheme="majorBidi"/>
      <w:b/>
      <w:bCs/>
      <w:color w:val="2E54A1" w:themeColor="accent1" w:themeShade="BF"/>
    </w:rPr>
  </w:style>
  <w:style w:type="paragraph" w:styleId="11">
    <w:name w:val="heading 7"/>
    <w:basedOn w:val="1"/>
    <w:next w:val="1"/>
    <w:link w:val="47"/>
    <w:semiHidden/>
    <w:unhideWhenUsed/>
    <w:qFormat/>
    <w:uiPriority w:val="0"/>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2">
    <w:name w:val="heading 8"/>
    <w:basedOn w:val="1"/>
    <w:next w:val="1"/>
    <w:link w:val="48"/>
    <w:semiHidden/>
    <w:unhideWhenUsed/>
    <w:qFormat/>
    <w:uiPriority w:val="0"/>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3">
    <w:name w:val="heading 9"/>
    <w:basedOn w:val="1"/>
    <w:next w:val="1"/>
    <w:link w:val="49"/>
    <w:semiHidden/>
    <w:unhideWhenUsed/>
    <w:qFormat/>
    <w:uiPriority w:val="0"/>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6">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link w:val="34"/>
    <w:qFormat/>
    <w:uiPriority w:val="99"/>
    <w:pPr>
      <w:ind w:firstLine="420" w:firstLineChars="200"/>
    </w:pPr>
  </w:style>
  <w:style w:type="paragraph" w:styleId="3">
    <w:name w:val="Body Text Indent"/>
    <w:basedOn w:val="1"/>
    <w:next w:val="4"/>
    <w:link w:val="33"/>
    <w:qFormat/>
    <w:uiPriority w:val="0"/>
    <w:pPr>
      <w:spacing w:after="120"/>
      <w:ind w:left="420" w:leftChars="200"/>
    </w:pPr>
  </w:style>
  <w:style w:type="paragraph" w:styleId="4">
    <w:name w:val="Normal Indent"/>
    <w:basedOn w:val="1"/>
    <w:qFormat/>
    <w:uiPriority w:val="0"/>
    <w:pPr>
      <w:adjustRightInd w:val="0"/>
      <w:spacing w:line="360" w:lineRule="atLeast"/>
      <w:ind w:firstLine="425"/>
      <w:textAlignment w:val="baseline"/>
    </w:pPr>
    <w:rPr>
      <w:rFonts w:ascii="宋体" w:hAnsi="Times New Roman" w:eastAsia="宋体" w:cs="Times New Roman"/>
      <w:kern w:val="0"/>
      <w:sz w:val="24"/>
    </w:rPr>
  </w:style>
  <w:style w:type="paragraph" w:styleId="14">
    <w:name w:val="annotation text"/>
    <w:basedOn w:val="1"/>
    <w:link w:val="35"/>
    <w:qFormat/>
    <w:uiPriority w:val="99"/>
    <w:pPr>
      <w:jc w:val="left"/>
    </w:pPr>
  </w:style>
  <w:style w:type="paragraph" w:styleId="15">
    <w:name w:val="Body Text"/>
    <w:basedOn w:val="1"/>
    <w:link w:val="59"/>
    <w:unhideWhenUsed/>
    <w:qFormat/>
    <w:uiPriority w:val="99"/>
    <w:pPr>
      <w:spacing w:after="120"/>
    </w:pPr>
  </w:style>
  <w:style w:type="paragraph" w:styleId="16">
    <w:name w:val="Balloon Text"/>
    <w:basedOn w:val="1"/>
    <w:link w:val="39"/>
    <w:qFormat/>
    <w:uiPriority w:val="0"/>
    <w:rPr>
      <w:rFonts w:ascii="宋体" w:eastAsia="宋体"/>
      <w:sz w:val="18"/>
      <w:szCs w:val="18"/>
    </w:rPr>
  </w:style>
  <w:style w:type="paragraph" w:styleId="17">
    <w:name w:val="footer"/>
    <w:basedOn w:val="1"/>
    <w:link w:val="37"/>
    <w:qFormat/>
    <w:uiPriority w:val="0"/>
    <w:pPr>
      <w:tabs>
        <w:tab w:val="center" w:pos="4153"/>
        <w:tab w:val="right" w:pos="8306"/>
      </w:tabs>
      <w:snapToGrid w:val="0"/>
      <w:jc w:val="left"/>
    </w:pPr>
    <w:rPr>
      <w:sz w:val="18"/>
    </w:rPr>
  </w:style>
  <w:style w:type="paragraph" w:styleId="18">
    <w:name w:val="header"/>
    <w:basedOn w:val="1"/>
    <w:link w:val="36"/>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9">
    <w:name w:val="toc 1"/>
    <w:basedOn w:val="1"/>
    <w:next w:val="1"/>
    <w:qFormat/>
    <w:uiPriority w:val="39"/>
  </w:style>
  <w:style w:type="paragraph" w:styleId="20">
    <w:name w:val="Subtitle"/>
    <w:basedOn w:val="1"/>
    <w:next w:val="1"/>
    <w:link w:val="51"/>
    <w:qFormat/>
    <w:uiPriority w:val="0"/>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1">
    <w:name w:val="toc 2"/>
    <w:basedOn w:val="1"/>
    <w:next w:val="1"/>
    <w:qFormat/>
    <w:uiPriority w:val="39"/>
    <w:pPr>
      <w:ind w:left="420" w:leftChars="200"/>
    </w:pPr>
  </w:style>
  <w:style w:type="paragraph" w:styleId="2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23">
    <w:name w:val="Title"/>
    <w:basedOn w:val="1"/>
    <w:next w:val="1"/>
    <w:link w:val="50"/>
    <w:qFormat/>
    <w:uiPriority w:val="0"/>
    <w:pPr>
      <w:spacing w:after="80"/>
      <w:contextualSpacing/>
      <w:jc w:val="center"/>
    </w:pPr>
    <w:rPr>
      <w:rFonts w:asciiTheme="majorHAnsi" w:hAnsiTheme="majorHAnsi" w:eastAsiaTheme="majorEastAsia" w:cstheme="majorBidi"/>
      <w:spacing w:val="-10"/>
      <w:kern w:val="28"/>
      <w:sz w:val="56"/>
      <w:szCs w:val="56"/>
    </w:rPr>
  </w:style>
  <w:style w:type="paragraph" w:styleId="24">
    <w:name w:val="annotation subject"/>
    <w:basedOn w:val="14"/>
    <w:next w:val="14"/>
    <w:link w:val="38"/>
    <w:qFormat/>
    <w:uiPriority w:val="0"/>
    <w:rPr>
      <w:b/>
      <w:bCs/>
    </w:rPr>
  </w:style>
  <w:style w:type="character" w:styleId="27">
    <w:name w:val="Strong"/>
    <w:basedOn w:val="26"/>
    <w:qFormat/>
    <w:uiPriority w:val="0"/>
    <w:rPr>
      <w:b/>
    </w:rPr>
  </w:style>
  <w:style w:type="character" w:styleId="28">
    <w:name w:val="Hyperlink"/>
    <w:basedOn w:val="26"/>
    <w:unhideWhenUsed/>
    <w:qFormat/>
    <w:uiPriority w:val="99"/>
    <w:rPr>
      <w:color w:val="0026E5" w:themeColor="hyperlink"/>
      <w:u w:val="single"/>
      <w14:textFill>
        <w14:solidFill>
          <w14:schemeClr w14:val="hlink"/>
        </w14:solidFill>
      </w14:textFill>
    </w:rPr>
  </w:style>
  <w:style w:type="character" w:styleId="29">
    <w:name w:val="annotation reference"/>
    <w:basedOn w:val="26"/>
    <w:qFormat/>
    <w:uiPriority w:val="99"/>
    <w:rPr>
      <w:sz w:val="21"/>
      <w:szCs w:val="21"/>
    </w:rPr>
  </w:style>
  <w:style w:type="paragraph" w:customStyle="1" w:styleId="30">
    <w:name w:val="WPSOffice手动目录 1"/>
    <w:qFormat/>
    <w:uiPriority w:val="0"/>
    <w:pPr>
      <w:spacing w:after="160" w:line="278" w:lineRule="auto"/>
    </w:pPr>
    <w:rPr>
      <w:rFonts w:ascii="Times New Roman" w:hAnsi="Times New Roman" w:eastAsia="宋体" w:cs="Times New Roman"/>
      <w:lang w:val="en-US" w:eastAsia="zh-CN" w:bidi="ar-SA"/>
    </w:rPr>
  </w:style>
  <w:style w:type="paragraph" w:customStyle="1" w:styleId="31">
    <w:name w:val="WPSOffice手动目录 2"/>
    <w:qFormat/>
    <w:uiPriority w:val="0"/>
    <w:pPr>
      <w:spacing w:after="160" w:line="278" w:lineRule="auto"/>
      <w:ind w:left="200" w:leftChars="200"/>
    </w:pPr>
    <w:rPr>
      <w:rFonts w:ascii="Times New Roman" w:hAnsi="Times New Roman" w:eastAsia="宋体" w:cs="Times New Roman"/>
      <w:lang w:val="en-US" w:eastAsia="zh-CN" w:bidi="ar-SA"/>
    </w:rPr>
  </w:style>
  <w:style w:type="paragraph" w:customStyle="1" w:styleId="32">
    <w:name w:val="列表段落1"/>
    <w:basedOn w:val="1"/>
    <w:unhideWhenUsed/>
    <w:qFormat/>
    <w:uiPriority w:val="99"/>
    <w:pPr>
      <w:ind w:firstLine="420" w:firstLineChars="200"/>
    </w:pPr>
  </w:style>
  <w:style w:type="character" w:customStyle="1" w:styleId="33">
    <w:name w:val="正文文本缩进 字符"/>
    <w:basedOn w:val="26"/>
    <w:link w:val="3"/>
    <w:qFormat/>
    <w:uiPriority w:val="0"/>
    <w:rPr>
      <w:rFonts w:asciiTheme="minorHAnsi" w:hAnsiTheme="minorHAnsi" w:eastAsiaTheme="minorEastAsia" w:cstheme="minorBidi"/>
      <w:kern w:val="2"/>
      <w:sz w:val="21"/>
      <w:szCs w:val="24"/>
    </w:rPr>
  </w:style>
  <w:style w:type="character" w:customStyle="1" w:styleId="34">
    <w:name w:val="正文文本首行缩进 2 字符"/>
    <w:basedOn w:val="33"/>
    <w:link w:val="2"/>
    <w:qFormat/>
    <w:uiPriority w:val="99"/>
    <w:rPr>
      <w:rFonts w:asciiTheme="minorHAnsi" w:hAnsiTheme="minorHAnsi" w:eastAsiaTheme="minorEastAsia" w:cstheme="minorBidi"/>
      <w:kern w:val="2"/>
      <w:sz w:val="21"/>
      <w:szCs w:val="24"/>
    </w:rPr>
  </w:style>
  <w:style w:type="character" w:customStyle="1" w:styleId="35">
    <w:name w:val="批注文字 字符"/>
    <w:basedOn w:val="26"/>
    <w:link w:val="14"/>
    <w:qFormat/>
    <w:uiPriority w:val="99"/>
    <w:rPr>
      <w:rFonts w:asciiTheme="minorHAnsi" w:hAnsiTheme="minorHAnsi" w:eastAsiaTheme="minorEastAsia" w:cstheme="minorBidi"/>
      <w:kern w:val="2"/>
      <w:sz w:val="21"/>
      <w:szCs w:val="24"/>
    </w:rPr>
  </w:style>
  <w:style w:type="character" w:customStyle="1" w:styleId="36">
    <w:name w:val="页眉 字符"/>
    <w:basedOn w:val="26"/>
    <w:link w:val="18"/>
    <w:qFormat/>
    <w:uiPriority w:val="0"/>
    <w:rPr>
      <w:rFonts w:asciiTheme="minorHAnsi" w:hAnsiTheme="minorHAnsi" w:eastAsiaTheme="minorEastAsia" w:cstheme="minorBidi"/>
      <w:kern w:val="2"/>
      <w:sz w:val="18"/>
      <w:szCs w:val="24"/>
    </w:rPr>
  </w:style>
  <w:style w:type="character" w:customStyle="1" w:styleId="37">
    <w:name w:val="页脚 字符"/>
    <w:basedOn w:val="26"/>
    <w:link w:val="17"/>
    <w:qFormat/>
    <w:uiPriority w:val="0"/>
    <w:rPr>
      <w:rFonts w:asciiTheme="minorHAnsi" w:hAnsiTheme="minorHAnsi" w:eastAsiaTheme="minorEastAsia" w:cstheme="minorBidi"/>
      <w:kern w:val="2"/>
      <w:sz w:val="18"/>
      <w:szCs w:val="24"/>
    </w:rPr>
  </w:style>
  <w:style w:type="character" w:customStyle="1" w:styleId="38">
    <w:name w:val="批注主题 字符"/>
    <w:basedOn w:val="35"/>
    <w:link w:val="24"/>
    <w:qFormat/>
    <w:uiPriority w:val="0"/>
    <w:rPr>
      <w:rFonts w:asciiTheme="minorHAnsi" w:hAnsiTheme="minorHAnsi" w:eastAsiaTheme="minorEastAsia" w:cstheme="minorBidi"/>
      <w:b/>
      <w:bCs/>
      <w:kern w:val="2"/>
      <w:sz w:val="21"/>
      <w:szCs w:val="24"/>
    </w:rPr>
  </w:style>
  <w:style w:type="character" w:customStyle="1" w:styleId="39">
    <w:name w:val="批注框文本 字符"/>
    <w:basedOn w:val="26"/>
    <w:link w:val="16"/>
    <w:qFormat/>
    <w:uiPriority w:val="0"/>
    <w:rPr>
      <w:rFonts w:ascii="宋体" w:hAnsiTheme="minorHAnsi" w:cstheme="minorBidi"/>
      <w:kern w:val="2"/>
      <w:sz w:val="18"/>
      <w:szCs w:val="18"/>
    </w:rPr>
  </w:style>
  <w:style w:type="paragraph" w:styleId="40">
    <w:name w:val="List Paragraph"/>
    <w:basedOn w:val="1"/>
    <w:qFormat/>
    <w:uiPriority w:val="99"/>
    <w:pPr>
      <w:ind w:firstLine="420" w:firstLineChars="200"/>
    </w:pPr>
  </w:style>
  <w:style w:type="character" w:customStyle="1" w:styleId="41">
    <w:name w:val="标题 1 字符"/>
    <w:basedOn w:val="26"/>
    <w:link w:val="5"/>
    <w:qFormat/>
    <w:uiPriority w:val="0"/>
    <w:rPr>
      <w:rFonts w:asciiTheme="majorHAnsi" w:hAnsiTheme="majorHAnsi" w:eastAsiaTheme="majorEastAsia" w:cstheme="majorBidi"/>
      <w:color w:val="2E54A1" w:themeColor="accent1" w:themeShade="BF"/>
      <w:kern w:val="2"/>
      <w:sz w:val="48"/>
      <w:szCs w:val="48"/>
    </w:rPr>
  </w:style>
  <w:style w:type="character" w:customStyle="1" w:styleId="42">
    <w:name w:val="标题 2 字符"/>
    <w:basedOn w:val="26"/>
    <w:link w:val="6"/>
    <w:semiHidden/>
    <w:qFormat/>
    <w:uiPriority w:val="0"/>
    <w:rPr>
      <w:rFonts w:asciiTheme="majorHAnsi" w:hAnsiTheme="majorHAnsi" w:eastAsiaTheme="majorEastAsia" w:cstheme="majorBidi"/>
      <w:color w:val="2E54A1" w:themeColor="accent1" w:themeShade="BF"/>
      <w:kern w:val="2"/>
      <w:sz w:val="40"/>
      <w:szCs w:val="40"/>
    </w:rPr>
  </w:style>
  <w:style w:type="character" w:customStyle="1" w:styleId="43">
    <w:name w:val="标题 3 字符"/>
    <w:basedOn w:val="26"/>
    <w:link w:val="7"/>
    <w:semiHidden/>
    <w:qFormat/>
    <w:uiPriority w:val="0"/>
    <w:rPr>
      <w:rFonts w:asciiTheme="majorHAnsi" w:hAnsiTheme="majorHAnsi" w:eastAsiaTheme="majorEastAsia" w:cstheme="majorBidi"/>
      <w:color w:val="2E54A1" w:themeColor="accent1" w:themeShade="BF"/>
      <w:kern w:val="2"/>
      <w:sz w:val="32"/>
      <w:szCs w:val="32"/>
    </w:rPr>
  </w:style>
  <w:style w:type="character" w:customStyle="1" w:styleId="44">
    <w:name w:val="标题 4 字符"/>
    <w:basedOn w:val="26"/>
    <w:link w:val="8"/>
    <w:semiHidden/>
    <w:qFormat/>
    <w:uiPriority w:val="0"/>
    <w:rPr>
      <w:rFonts w:asciiTheme="minorHAnsi" w:hAnsiTheme="minorHAnsi" w:eastAsiaTheme="minorEastAsia" w:cstheme="majorBidi"/>
      <w:color w:val="2E54A1" w:themeColor="accent1" w:themeShade="BF"/>
      <w:kern w:val="2"/>
      <w:sz w:val="28"/>
      <w:szCs w:val="28"/>
    </w:rPr>
  </w:style>
  <w:style w:type="character" w:customStyle="1" w:styleId="45">
    <w:name w:val="标题 5 字符"/>
    <w:basedOn w:val="26"/>
    <w:link w:val="9"/>
    <w:semiHidden/>
    <w:qFormat/>
    <w:uiPriority w:val="0"/>
    <w:rPr>
      <w:rFonts w:asciiTheme="minorHAnsi" w:hAnsiTheme="minorHAnsi" w:eastAsiaTheme="minorEastAsia" w:cstheme="majorBidi"/>
      <w:color w:val="2E54A1" w:themeColor="accent1" w:themeShade="BF"/>
      <w:kern w:val="2"/>
      <w:sz w:val="24"/>
      <w:szCs w:val="24"/>
    </w:rPr>
  </w:style>
  <w:style w:type="character" w:customStyle="1" w:styleId="46">
    <w:name w:val="标题 6 字符"/>
    <w:basedOn w:val="26"/>
    <w:link w:val="10"/>
    <w:semiHidden/>
    <w:qFormat/>
    <w:uiPriority w:val="0"/>
    <w:rPr>
      <w:rFonts w:asciiTheme="minorHAnsi" w:hAnsiTheme="minorHAnsi" w:eastAsiaTheme="minorEastAsia" w:cstheme="majorBidi"/>
      <w:b/>
      <w:bCs/>
      <w:color w:val="2E54A1" w:themeColor="accent1" w:themeShade="BF"/>
      <w:kern w:val="2"/>
      <w:sz w:val="21"/>
      <w:szCs w:val="24"/>
    </w:rPr>
  </w:style>
  <w:style w:type="character" w:customStyle="1" w:styleId="47">
    <w:name w:val="标题 7 字符"/>
    <w:basedOn w:val="26"/>
    <w:link w:val="11"/>
    <w:semiHidden/>
    <w:qFormat/>
    <w:uiPriority w:val="0"/>
    <w:rPr>
      <w:rFonts w:asciiTheme="minorHAnsi" w:hAnsiTheme="minorHAnsi" w:eastAsiaTheme="minorEastAsia" w:cstheme="majorBidi"/>
      <w:b/>
      <w:bCs/>
      <w:color w:val="595959" w:themeColor="text1" w:themeTint="A6"/>
      <w:kern w:val="2"/>
      <w:sz w:val="21"/>
      <w:szCs w:val="24"/>
      <w14:textFill>
        <w14:solidFill>
          <w14:schemeClr w14:val="tx1">
            <w14:lumMod w14:val="65000"/>
            <w14:lumOff w14:val="35000"/>
          </w14:schemeClr>
        </w14:solidFill>
      </w14:textFill>
    </w:rPr>
  </w:style>
  <w:style w:type="character" w:customStyle="1" w:styleId="48">
    <w:name w:val="标题 8 字符"/>
    <w:basedOn w:val="26"/>
    <w:link w:val="12"/>
    <w:semiHidden/>
    <w:qFormat/>
    <w:uiPriority w:val="0"/>
    <w:rPr>
      <w:rFonts w:asciiTheme="minorHAnsi" w:hAnsiTheme="minorHAnsi" w:eastAsiaTheme="minorEastAsia" w:cstheme="majorBidi"/>
      <w:color w:val="595959" w:themeColor="text1" w:themeTint="A6"/>
      <w:kern w:val="2"/>
      <w:sz w:val="21"/>
      <w:szCs w:val="24"/>
      <w14:textFill>
        <w14:solidFill>
          <w14:schemeClr w14:val="tx1">
            <w14:lumMod w14:val="65000"/>
            <w14:lumOff w14:val="35000"/>
          </w14:schemeClr>
        </w14:solidFill>
      </w14:textFill>
    </w:rPr>
  </w:style>
  <w:style w:type="character" w:customStyle="1" w:styleId="49">
    <w:name w:val="标题 9 字符"/>
    <w:basedOn w:val="26"/>
    <w:link w:val="13"/>
    <w:semiHidden/>
    <w:qFormat/>
    <w:uiPriority w:val="0"/>
    <w:rPr>
      <w:rFonts w:asciiTheme="minorHAnsi" w:hAnsiTheme="minorHAnsi" w:eastAsiaTheme="majorEastAsia" w:cstheme="majorBidi"/>
      <w:color w:val="595959" w:themeColor="text1" w:themeTint="A6"/>
      <w:kern w:val="2"/>
      <w:sz w:val="21"/>
      <w:szCs w:val="24"/>
      <w14:textFill>
        <w14:solidFill>
          <w14:schemeClr w14:val="tx1">
            <w14:lumMod w14:val="65000"/>
            <w14:lumOff w14:val="35000"/>
          </w14:schemeClr>
        </w14:solidFill>
      </w14:textFill>
    </w:rPr>
  </w:style>
  <w:style w:type="character" w:customStyle="1" w:styleId="50">
    <w:name w:val="标题 字符"/>
    <w:basedOn w:val="26"/>
    <w:link w:val="23"/>
    <w:qFormat/>
    <w:uiPriority w:val="0"/>
    <w:rPr>
      <w:rFonts w:asciiTheme="majorHAnsi" w:hAnsiTheme="majorHAnsi" w:eastAsiaTheme="majorEastAsia" w:cstheme="majorBidi"/>
      <w:spacing w:val="-10"/>
      <w:kern w:val="28"/>
      <w:sz w:val="56"/>
      <w:szCs w:val="56"/>
    </w:rPr>
  </w:style>
  <w:style w:type="character" w:customStyle="1" w:styleId="51">
    <w:name w:val="副标题 字符"/>
    <w:basedOn w:val="26"/>
    <w:link w:val="20"/>
    <w:qFormat/>
    <w:uiPriority w:val="0"/>
    <w:rPr>
      <w:rFonts w:asciiTheme="majorHAnsi" w:hAnsiTheme="majorHAnsi" w:eastAsiaTheme="majorEastAsia" w:cstheme="majorBidi"/>
      <w:color w:val="595959" w:themeColor="text1" w:themeTint="A6"/>
      <w:spacing w:val="15"/>
      <w:kern w:val="2"/>
      <w:sz w:val="28"/>
      <w:szCs w:val="28"/>
      <w14:textFill>
        <w14:solidFill>
          <w14:schemeClr w14:val="tx1">
            <w14:lumMod w14:val="65000"/>
            <w14:lumOff w14:val="35000"/>
          </w14:schemeClr>
        </w14:solidFill>
      </w14:textFill>
    </w:rPr>
  </w:style>
  <w:style w:type="paragraph" w:styleId="52">
    <w:name w:val="Quote"/>
    <w:basedOn w:val="1"/>
    <w:next w:val="1"/>
    <w:link w:val="53"/>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53">
    <w:name w:val="引用 字符"/>
    <w:basedOn w:val="26"/>
    <w:link w:val="52"/>
    <w:qFormat/>
    <w:uiPriority w:val="29"/>
    <w:rPr>
      <w:rFonts w:asciiTheme="minorHAnsi" w:hAnsiTheme="minorHAnsi" w:eastAsiaTheme="minorEastAsia" w:cstheme="minorBidi"/>
      <w:i/>
      <w:iCs/>
      <w:color w:val="404040" w:themeColor="text1" w:themeTint="BF"/>
      <w:kern w:val="2"/>
      <w:sz w:val="21"/>
      <w:szCs w:val="24"/>
      <w14:textFill>
        <w14:solidFill>
          <w14:schemeClr w14:val="tx1">
            <w14:lumMod w14:val="75000"/>
            <w14:lumOff w14:val="25000"/>
          </w14:schemeClr>
        </w14:solidFill>
      </w14:textFill>
    </w:rPr>
  </w:style>
  <w:style w:type="character" w:customStyle="1" w:styleId="54">
    <w:name w:val="明显强调1"/>
    <w:basedOn w:val="26"/>
    <w:qFormat/>
    <w:uiPriority w:val="21"/>
    <w:rPr>
      <w:i/>
      <w:iCs/>
      <w:color w:val="2E54A1" w:themeColor="accent1" w:themeShade="BF"/>
    </w:rPr>
  </w:style>
  <w:style w:type="paragraph" w:styleId="55">
    <w:name w:val="Intense Quote"/>
    <w:basedOn w:val="1"/>
    <w:next w:val="1"/>
    <w:link w:val="56"/>
    <w:qFormat/>
    <w:uiPriority w:val="30"/>
    <w:pPr>
      <w:pBdr>
        <w:top w:val="single" w:color="2D54A0" w:themeColor="accent1" w:themeShade="BF" w:sz="4" w:space="10"/>
        <w:bottom w:val="single" w:color="2D54A0" w:themeColor="accent1" w:themeShade="BF" w:sz="4" w:space="10"/>
      </w:pBdr>
      <w:spacing w:before="360" w:after="360"/>
      <w:ind w:left="864" w:right="864"/>
      <w:jc w:val="center"/>
    </w:pPr>
    <w:rPr>
      <w:i/>
      <w:iCs/>
      <w:color w:val="2E54A1" w:themeColor="accent1" w:themeShade="BF"/>
    </w:rPr>
  </w:style>
  <w:style w:type="character" w:customStyle="1" w:styleId="56">
    <w:name w:val="明显引用 字符"/>
    <w:basedOn w:val="26"/>
    <w:link w:val="55"/>
    <w:qFormat/>
    <w:uiPriority w:val="30"/>
    <w:rPr>
      <w:rFonts w:asciiTheme="minorHAnsi" w:hAnsiTheme="minorHAnsi" w:eastAsiaTheme="minorEastAsia" w:cstheme="minorBidi"/>
      <w:i/>
      <w:iCs/>
      <w:color w:val="2E54A1" w:themeColor="accent1" w:themeShade="BF"/>
      <w:kern w:val="2"/>
      <w:sz w:val="21"/>
      <w:szCs w:val="24"/>
    </w:rPr>
  </w:style>
  <w:style w:type="character" w:customStyle="1" w:styleId="57">
    <w:name w:val="明显参考1"/>
    <w:basedOn w:val="26"/>
    <w:qFormat/>
    <w:uiPriority w:val="32"/>
    <w:rPr>
      <w:b/>
      <w:bCs/>
      <w:smallCaps/>
      <w:color w:val="2E54A1" w:themeColor="accent1" w:themeShade="BF"/>
      <w:spacing w:val="5"/>
    </w:rPr>
  </w:style>
  <w:style w:type="paragraph" w:customStyle="1" w:styleId="58">
    <w:name w:val="修订1"/>
    <w:hidden/>
    <w:semiHidden/>
    <w:qFormat/>
    <w:uiPriority w:val="99"/>
    <w:pPr>
      <w:spacing w:after="160" w:line="278" w:lineRule="auto"/>
    </w:pPr>
    <w:rPr>
      <w:rFonts w:asciiTheme="minorHAnsi" w:hAnsiTheme="minorHAnsi" w:eastAsiaTheme="minorEastAsia" w:cstheme="minorBidi"/>
      <w:kern w:val="2"/>
      <w:sz w:val="21"/>
      <w:szCs w:val="24"/>
      <w:lang w:val="en-US" w:eastAsia="zh-CN" w:bidi="ar-SA"/>
    </w:rPr>
  </w:style>
  <w:style w:type="character" w:customStyle="1" w:styleId="59">
    <w:name w:val="正文文本 字符"/>
    <w:basedOn w:val="26"/>
    <w:link w:val="15"/>
    <w:qFormat/>
    <w:uiPriority w:val="99"/>
    <w:rPr>
      <w:rFonts w:asciiTheme="minorHAnsi" w:hAnsiTheme="minorHAnsi" w:eastAsiaTheme="minorEastAsia" w:cstheme="minorBidi"/>
      <w:kern w:val="2"/>
      <w:sz w:val="21"/>
      <w:szCs w:val="24"/>
    </w:rPr>
  </w:style>
  <w:style w:type="paragraph" w:customStyle="1" w:styleId="60">
    <w:name w:val="修订2"/>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771</Words>
  <Characters>4398</Characters>
  <Lines>36</Lines>
  <Paragraphs>10</Paragraphs>
  <TotalTime>2</TotalTime>
  <ScaleCrop>false</ScaleCrop>
  <LinksUpToDate>false</LinksUpToDate>
  <CharactersWithSpaces>5159</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2026-02-03T20:48:00Z</dcterms:created>
  <dc:creator>小洁 李</dc:creator>
  <cp:lastModifiedBy>lhh</cp:lastModifiedBy>
  <cp:lastPrinted>2026-02-12T20:14:00Z</cp:lastPrinted>
  <dcterms:modified xsi:type="dcterms:W3CDTF">2026-04-03T15:06:24Z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B09542FAFF07483307218869A7A31374_42</vt:lpwstr>
  </property>
</Properties>
</file>