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威海市引进国外智力重点项目</w:t>
      </w:r>
    </w:p>
    <w:p>
      <w:pPr>
        <w:ind w:firstLine="64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资金使用实施细则（试行）</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（征求意见稿</w:t>
      </w:r>
      <w:bookmarkStart w:id="0" w:name="_GoBack"/>
      <w:bookmarkEnd w:id="0"/>
      <w:r>
        <w:rPr>
          <w:rFonts w:hint="eastAsia" w:ascii="黑体" w:hAnsi="黑体" w:eastAsia="黑体" w:cs="黑体"/>
          <w:sz w:val="32"/>
          <w:szCs w:val="32"/>
          <w:lang w:val="en-US" w:eastAsia="zh-CN"/>
        </w:rPr>
        <w:t>）</w:t>
      </w:r>
    </w:p>
    <w:p>
      <w:pPr>
        <w:jc w:val="center"/>
        <w:rPr>
          <w:rFonts w:hint="default" w:ascii="黑体" w:hAnsi="黑体" w:eastAsia="黑体" w:cs="黑体"/>
          <w:sz w:val="32"/>
          <w:szCs w:val="32"/>
          <w:lang w:val="en-US" w:eastAsia="zh-CN"/>
        </w:rPr>
      </w:pPr>
    </w:p>
    <w:p>
      <w:pPr>
        <w:numPr>
          <w:ilvl w:val="0"/>
          <w:numId w:val="1"/>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总则</w:t>
      </w:r>
    </w:p>
    <w:p>
      <w:pPr>
        <w:keepNext w:val="0"/>
        <w:keepLines w:val="0"/>
        <w:pageBreakBefore w:val="0"/>
        <w:widowControl w:val="0"/>
        <w:numPr>
          <w:ilvl w:val="0"/>
          <w:numId w:val="0"/>
        </w:numPr>
        <w:kinsoku/>
        <w:wordWrap/>
        <w:overflowPunct/>
        <w:topLinePunct w:val="0"/>
        <w:autoSpaceDE/>
        <w:autoSpaceDN/>
        <w:bidi w:val="0"/>
        <w:snapToGrid/>
        <w:spacing w:line="24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第一条  </w:t>
      </w:r>
      <w:r>
        <w:rPr>
          <w:rFonts w:hint="eastAsia" w:ascii="仿宋_GB2312" w:hAnsi="仿宋_GB2312" w:eastAsia="仿宋_GB2312" w:cs="仿宋_GB2312"/>
          <w:sz w:val="32"/>
          <w:szCs w:val="32"/>
          <w:lang w:val="en-US" w:eastAsia="zh-CN"/>
        </w:rPr>
        <w:t>为进一步加强市级引进国外智力重点项目资金（以下简称“引智项目资金”）管理，规范引智资金使用，提高资金使用效益，更好地发挥引智作用，根据《威海市市级科技专项资金管理暂行办法》（威财教[2018]33号）及国家、省、市有关法规政策和财务规定，结合我市实际，制定本实施细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eastAsia="仿宋_GB2312"/>
          <w:color w:val="000000" w:themeColor="text1"/>
          <w:sz w:val="32"/>
          <w:szCs w:val="32"/>
          <w14:textFill>
            <w14:solidFill>
              <w14:schemeClr w14:val="tx1"/>
            </w14:solidFill>
          </w14:textFill>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引智项目资金是安排</w:t>
      </w:r>
      <w:r>
        <w:rPr>
          <w:rFonts w:hint="eastAsia" w:eastAsia="仿宋_GB2312"/>
          <w:color w:val="000000" w:themeColor="text1"/>
          <w:sz w:val="32"/>
          <w:szCs w:val="32"/>
          <w14:textFill>
            <w14:solidFill>
              <w14:schemeClr w14:val="tx1"/>
            </w14:solidFill>
          </w14:textFill>
        </w:rPr>
        <w:t>用于引进国外智力</w:t>
      </w:r>
      <w:r>
        <w:rPr>
          <w:rFonts w:hint="eastAsia" w:eastAsia="仿宋_GB2312"/>
          <w:color w:val="000000" w:themeColor="text1"/>
          <w:sz w:val="32"/>
          <w:szCs w:val="32"/>
          <w:lang w:eastAsia="zh-CN"/>
          <w14:textFill>
            <w14:solidFill>
              <w14:schemeClr w14:val="tx1"/>
            </w14:solidFill>
          </w14:textFill>
        </w:rPr>
        <w:t>重点项目</w:t>
      </w:r>
      <w:r>
        <w:rPr>
          <w:rFonts w:hint="eastAsia" w:eastAsia="仿宋_GB2312"/>
          <w:color w:val="000000" w:themeColor="text1"/>
          <w:sz w:val="32"/>
          <w:szCs w:val="32"/>
          <w14:textFill>
            <w14:solidFill>
              <w14:schemeClr w14:val="tx1"/>
            </w14:solidFill>
          </w14:textFill>
        </w:rPr>
        <w:t>的专项资金，主要用于资助我</w:t>
      </w:r>
      <w:r>
        <w:rPr>
          <w:rFonts w:hint="eastAsia" w:eastAsia="仿宋_GB2312"/>
          <w:color w:val="000000" w:themeColor="text1"/>
          <w:sz w:val="32"/>
          <w:szCs w:val="32"/>
          <w:lang w:eastAsia="zh-CN"/>
          <w14:textFill>
            <w14:solidFill>
              <w14:schemeClr w14:val="tx1"/>
            </w14:solidFill>
          </w14:textFill>
        </w:rPr>
        <w:t>市</w:t>
      </w:r>
      <w:r>
        <w:rPr>
          <w:rFonts w:hint="eastAsia" w:eastAsia="仿宋_GB2312"/>
          <w:color w:val="000000" w:themeColor="text1"/>
          <w:sz w:val="32"/>
          <w:szCs w:val="32"/>
          <w14:textFill>
            <w14:solidFill>
              <w14:schemeClr w14:val="tx1"/>
            </w14:solidFill>
          </w14:textFill>
        </w:rPr>
        <w:t>经济发展、社会事业进步等领域中，急需通过引进国</w:t>
      </w:r>
      <w:r>
        <w:rPr>
          <w:rFonts w:hint="eastAsia" w:ascii="仿宋_GB2312" w:eastAsia="仿宋_GB2312"/>
          <w:color w:val="000000" w:themeColor="text1"/>
          <w:sz w:val="32"/>
          <w:szCs w:val="32"/>
          <w14:textFill>
            <w14:solidFill>
              <w14:schemeClr w14:val="tx1"/>
            </w14:solidFill>
          </w14:textFill>
        </w:rPr>
        <w:t>（境）</w:t>
      </w:r>
      <w:r>
        <w:rPr>
          <w:rFonts w:hint="eastAsia" w:eastAsia="仿宋_GB2312"/>
          <w:color w:val="000000" w:themeColor="text1"/>
          <w:sz w:val="32"/>
          <w:szCs w:val="32"/>
          <w14:textFill>
            <w14:solidFill>
              <w14:schemeClr w14:val="tx1"/>
            </w14:solidFill>
          </w14:textFill>
        </w:rPr>
        <w:t>外智力破解关键技术和管理难题，能够显著提升生产管理水平和自主创新能力、产生较好经济和社会效益的引智项目。</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eastAsia="仿宋_GB2312"/>
          <w:color w:val="auto"/>
          <w:sz w:val="32"/>
          <w:szCs w:val="32"/>
          <w:lang w:eastAsia="zh-CN"/>
        </w:rPr>
      </w:pPr>
      <w:r>
        <w:rPr>
          <w:rFonts w:hint="eastAsia" w:ascii="黑体" w:hAnsi="黑体" w:eastAsia="黑体" w:cs="黑体"/>
          <w:color w:val="auto"/>
          <w:sz w:val="32"/>
          <w:szCs w:val="32"/>
          <w:lang w:eastAsia="zh-CN"/>
        </w:rPr>
        <w:t>第三条</w:t>
      </w:r>
      <w:r>
        <w:rPr>
          <w:rFonts w:hint="eastAsia" w:eastAsia="仿宋_GB2312"/>
          <w:color w:val="auto"/>
          <w:sz w:val="32"/>
          <w:szCs w:val="32"/>
          <w:lang w:val="en-US" w:eastAsia="zh-CN"/>
        </w:rPr>
        <w:t xml:space="preserve">  </w:t>
      </w:r>
      <w:r>
        <w:rPr>
          <w:rFonts w:hint="eastAsia" w:eastAsia="仿宋_GB2312"/>
          <w:color w:val="auto"/>
          <w:sz w:val="32"/>
          <w:szCs w:val="32"/>
        </w:rPr>
        <w:t>引智</w:t>
      </w:r>
      <w:r>
        <w:rPr>
          <w:rFonts w:hint="eastAsia" w:eastAsia="仿宋_GB2312"/>
          <w:color w:val="auto"/>
          <w:sz w:val="32"/>
          <w:szCs w:val="32"/>
          <w:lang w:eastAsia="zh-CN"/>
        </w:rPr>
        <w:t>项目</w:t>
      </w:r>
      <w:r>
        <w:rPr>
          <w:rFonts w:hint="eastAsia" w:eastAsia="仿宋_GB2312"/>
          <w:color w:val="auto"/>
          <w:sz w:val="32"/>
          <w:szCs w:val="32"/>
        </w:rPr>
        <w:t>资金</w:t>
      </w:r>
      <w:r>
        <w:rPr>
          <w:rFonts w:hint="eastAsia" w:eastAsia="仿宋_GB2312"/>
          <w:color w:val="auto"/>
          <w:sz w:val="32"/>
          <w:szCs w:val="32"/>
          <w:lang w:eastAsia="zh-CN"/>
        </w:rPr>
        <w:t>列入市科技专项资金年度预算，从市科技专项资金安排。</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firstLine="0" w:firstLine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资助范围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firstLine="320" w:firstLineChars="1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第四条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引智项目资金主要用于资助引进外国专家项目和引智成果示范推广项目。</w:t>
      </w:r>
    </w:p>
    <w:p>
      <w:pPr>
        <w:keepNext w:val="0"/>
        <w:keepLines w:val="0"/>
        <w:pageBreakBefore w:val="0"/>
        <w:widowControl w:val="0"/>
        <w:kinsoku/>
        <w:wordWrap/>
        <w:overflowPunct/>
        <w:topLinePunct w:val="0"/>
        <w:autoSpaceDE/>
        <w:autoSpaceDN/>
        <w:bidi w:val="0"/>
        <w:adjustRightInd w:val="0"/>
        <w:snapToGrid/>
        <w:spacing w:line="240" w:lineRule="auto"/>
        <w:ind w:left="0" w:right="0" w:firstLine="640" w:firstLineChars="200"/>
        <w:jc w:val="both"/>
        <w:textAlignment w:val="auto"/>
        <w:rPr>
          <w:rFonts w:hint="eastAsia" w:ascii="仿宋_GB2312" w:eastAsia="仿宋_GB2312"/>
          <w:snapToGrid w:val="0"/>
          <w:color w:val="000000"/>
          <w:kern w:val="0"/>
          <w:sz w:val="32"/>
          <w:lang w:eastAsia="zh-CN"/>
        </w:rPr>
      </w:pPr>
      <w:r>
        <w:rPr>
          <w:rFonts w:hint="eastAsia" w:ascii="黑体" w:hAnsi="黑体" w:eastAsia="黑体" w:cs="黑体"/>
          <w:color w:val="000000" w:themeColor="text1"/>
          <w:sz w:val="32"/>
          <w:szCs w:val="32"/>
          <w:lang w:val="en-US" w:eastAsia="zh-CN"/>
          <w14:textFill>
            <w14:solidFill>
              <w14:schemeClr w14:val="tx1"/>
            </w14:solidFill>
          </w14:textFill>
        </w:rPr>
        <w:t>第五条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引进</w:t>
      </w:r>
      <w:r>
        <w:rPr>
          <w:rFonts w:hint="eastAsia" w:eastAsia="仿宋_GB2312"/>
          <w:color w:val="000000"/>
          <w:sz w:val="32"/>
          <w:szCs w:val="32"/>
        </w:rPr>
        <w:t>外国专家项目是指</w:t>
      </w:r>
      <w:r>
        <w:rPr>
          <w:rFonts w:hint="eastAsia" w:eastAsia="仿宋_GB2312"/>
          <w:color w:val="000000"/>
          <w:sz w:val="32"/>
          <w:szCs w:val="32"/>
          <w:lang w:eastAsia="zh-CN"/>
        </w:rPr>
        <w:t>项目</w:t>
      </w:r>
      <w:r>
        <w:rPr>
          <w:rFonts w:hint="eastAsia" w:eastAsia="仿宋_GB2312"/>
          <w:color w:val="000000"/>
          <w:sz w:val="32"/>
          <w:szCs w:val="32"/>
        </w:rPr>
        <w:t>单位为解决生产、科研和管理过程中存在的技术和管理难题而聘请国外专家来威工作的项目</w:t>
      </w:r>
      <w:r>
        <w:rPr>
          <w:rFonts w:hint="eastAsia" w:ascii="仿宋_GB2312" w:eastAsia="仿宋_GB2312"/>
          <w:snapToGrid w:val="0"/>
          <w:color w:val="000000"/>
          <w:kern w:val="0"/>
          <w:sz w:val="32"/>
          <w:lang w:eastAsia="zh-CN"/>
        </w:rPr>
        <w:t>。</w:t>
      </w:r>
    </w:p>
    <w:p>
      <w:pPr>
        <w:keepNext w:val="0"/>
        <w:keepLines w:val="0"/>
        <w:pageBreakBefore w:val="0"/>
        <w:widowControl w:val="0"/>
        <w:kinsoku/>
        <w:wordWrap/>
        <w:overflowPunct/>
        <w:topLinePunct w:val="0"/>
        <w:autoSpaceDE/>
        <w:autoSpaceDN/>
        <w:bidi w:val="0"/>
        <w:adjustRightInd w:val="0"/>
        <w:snapToGrid/>
        <w:spacing w:line="240" w:lineRule="auto"/>
        <w:ind w:left="0" w:right="0" w:firstLine="640" w:firstLineChars="200"/>
        <w:jc w:val="both"/>
        <w:textAlignment w:val="auto"/>
        <w:rPr>
          <w:rFonts w:hint="eastAsia" w:eastAsia="仿宋_GB2312"/>
          <w:color w:val="000000"/>
          <w:sz w:val="32"/>
          <w:szCs w:val="32"/>
        </w:rPr>
      </w:pPr>
      <w:r>
        <w:rPr>
          <w:rFonts w:hint="eastAsia" w:ascii="黑体" w:hAnsi="黑体" w:eastAsia="黑体" w:cs="黑体"/>
          <w:snapToGrid w:val="0"/>
          <w:color w:val="000000"/>
          <w:kern w:val="0"/>
          <w:sz w:val="32"/>
          <w:lang w:eastAsia="zh-CN"/>
        </w:rPr>
        <w:t>第六条</w:t>
      </w:r>
      <w:r>
        <w:rPr>
          <w:rFonts w:hint="eastAsia" w:ascii="仿宋_GB2312" w:eastAsia="仿宋_GB2312"/>
          <w:snapToGrid w:val="0"/>
          <w:color w:val="000000"/>
          <w:kern w:val="0"/>
          <w:sz w:val="32"/>
          <w:lang w:val="en-US" w:eastAsia="zh-CN"/>
        </w:rPr>
        <w:t xml:space="preserve">  </w:t>
      </w:r>
      <w:r>
        <w:rPr>
          <w:rFonts w:hint="eastAsia" w:ascii="仿宋_GB2312" w:eastAsia="仿宋_GB2312"/>
          <w:snapToGrid w:val="0"/>
          <w:color w:val="000000"/>
          <w:kern w:val="0"/>
          <w:sz w:val="32"/>
        </w:rPr>
        <w:t>引智成果示范推广项目是</w:t>
      </w:r>
      <w:r>
        <w:rPr>
          <w:rFonts w:hint="eastAsia" w:eastAsia="仿宋_GB2312"/>
          <w:color w:val="000000"/>
          <w:sz w:val="32"/>
          <w:szCs w:val="32"/>
        </w:rPr>
        <w:t>通过引进国外智力，引进或开发符合</w:t>
      </w:r>
      <w:r>
        <w:rPr>
          <w:rFonts w:hint="eastAsia" w:eastAsia="仿宋_GB2312"/>
          <w:color w:val="000000"/>
          <w:sz w:val="32"/>
          <w:szCs w:val="32"/>
          <w:lang w:eastAsia="zh-CN"/>
        </w:rPr>
        <w:t>我市</w:t>
      </w:r>
      <w:r>
        <w:rPr>
          <w:rFonts w:hint="eastAsia" w:eastAsia="仿宋_GB2312"/>
          <w:color w:val="000000"/>
          <w:sz w:val="32"/>
          <w:szCs w:val="32"/>
        </w:rPr>
        <w:t>产业发展规划要求，能够促进产业结构优化、提升自主创新能力，推广后产生较好经济和社会效益的新产品、新技术以及新品种的项目。</w:t>
      </w:r>
    </w:p>
    <w:p>
      <w:pPr>
        <w:keepNext w:val="0"/>
        <w:keepLines w:val="0"/>
        <w:pageBreakBefore w:val="0"/>
        <w:widowControl w:val="0"/>
        <w:kinsoku/>
        <w:wordWrap/>
        <w:overflowPunct/>
        <w:topLinePunct w:val="0"/>
        <w:autoSpaceDE/>
        <w:autoSpaceDN/>
        <w:bidi w:val="0"/>
        <w:adjustRightInd w:val="0"/>
        <w:snapToGrid/>
        <w:spacing w:line="240" w:lineRule="auto"/>
        <w:ind w:left="0" w:right="0" w:firstLine="640" w:firstLineChars="200"/>
        <w:jc w:val="both"/>
        <w:textAlignment w:val="auto"/>
        <w:rPr>
          <w:rFonts w:hint="eastAsia" w:eastAsia="仿宋_GB2312"/>
          <w:color w:val="000000"/>
          <w:sz w:val="32"/>
          <w:szCs w:val="32"/>
        </w:rPr>
      </w:pPr>
    </w:p>
    <w:p>
      <w:pPr>
        <w:keepNext w:val="0"/>
        <w:keepLines w:val="0"/>
        <w:pageBreakBefore w:val="0"/>
        <w:widowControl w:val="0"/>
        <w:numPr>
          <w:ilvl w:val="0"/>
          <w:numId w:val="1"/>
        </w:numPr>
        <w:kinsoku/>
        <w:wordWrap/>
        <w:overflowPunct/>
        <w:topLinePunct w:val="0"/>
        <w:autoSpaceDE/>
        <w:autoSpaceDN/>
        <w:bidi w:val="0"/>
        <w:adjustRightInd w:val="0"/>
        <w:snapToGrid/>
        <w:spacing w:line="240" w:lineRule="auto"/>
        <w:ind w:left="0" w:leftChars="0" w:right="0" w:firstLine="0" w:firstLineChars="0"/>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资助标准</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jc w:val="both"/>
        <w:textAlignment w:val="auto"/>
        <w:rPr>
          <w:rFonts w:hint="eastAsia" w:eastAsia="仿宋_GB2312"/>
          <w:color w:val="FF0000"/>
          <w:sz w:val="32"/>
          <w:szCs w:val="32"/>
          <w:lang w:val="en-US" w:eastAsia="zh-CN"/>
        </w:rPr>
      </w:pPr>
      <w:r>
        <w:rPr>
          <w:rFonts w:hint="eastAsia" w:eastAsia="仿宋_GB2312"/>
          <w:color w:val="000000"/>
          <w:sz w:val="32"/>
          <w:szCs w:val="32"/>
          <w:lang w:val="en-US" w:eastAsia="zh-CN"/>
        </w:rPr>
        <w:t xml:space="preserve">    </w:t>
      </w:r>
      <w:r>
        <w:rPr>
          <w:rFonts w:hint="eastAsia" w:ascii="黑体" w:hAnsi="黑体" w:eastAsia="黑体" w:cs="黑体"/>
          <w:color w:val="000000"/>
          <w:sz w:val="32"/>
          <w:szCs w:val="32"/>
          <w:lang w:val="en-US" w:eastAsia="zh-CN"/>
        </w:rPr>
        <w:t>第七条</w:t>
      </w:r>
      <w:r>
        <w:rPr>
          <w:rFonts w:hint="eastAsia" w:eastAsia="仿宋_GB2312"/>
          <w:color w:val="000000"/>
          <w:sz w:val="32"/>
          <w:szCs w:val="32"/>
          <w:lang w:val="en-US" w:eastAsia="zh-CN"/>
        </w:rPr>
        <w:t xml:space="preserve">  引进外国专家项目经费包括</w:t>
      </w:r>
      <w:r>
        <w:rPr>
          <w:rFonts w:hint="eastAsia" w:eastAsia="仿宋_GB2312"/>
          <w:color w:val="auto"/>
          <w:sz w:val="32"/>
          <w:szCs w:val="32"/>
          <w:lang w:val="en-US" w:eastAsia="zh-CN"/>
        </w:rPr>
        <w:t>国际旅费、专家零用费、专家生活费、专家工薪等相关费用。</w:t>
      </w:r>
    </w:p>
    <w:p>
      <w:pPr>
        <w:pStyle w:val="2"/>
        <w:keepNext w:val="0"/>
        <w:keepLines w:val="0"/>
        <w:pageBreakBefore w:val="0"/>
        <w:widowControl w:val="0"/>
        <w:kinsoku/>
        <w:wordWrap/>
        <w:overflowPunct/>
        <w:topLinePunct w:val="0"/>
        <w:autoSpaceDE/>
        <w:autoSpaceDN/>
        <w:bidi w:val="0"/>
        <w:snapToGrid/>
        <w:spacing w:before="10" w:line="240" w:lineRule="auto"/>
        <w:ind w:left="0" w:right="0" w:firstLine="640" w:firstLineChars="200"/>
        <w:jc w:val="both"/>
        <w:textAlignment w:val="auto"/>
        <w:rPr>
          <w:rFonts w:hint="eastAsia" w:eastAsia="仿宋_GB2312"/>
          <w:lang w:eastAsia="zh-CN"/>
        </w:rPr>
      </w:pPr>
      <w:r>
        <w:rPr>
          <w:rFonts w:hint="eastAsia" w:ascii="黑体" w:hAnsi="黑体" w:eastAsia="黑体" w:cs="黑体"/>
          <w:color w:val="auto"/>
          <w:sz w:val="32"/>
          <w:szCs w:val="32"/>
          <w:lang w:val="en-US" w:eastAsia="zh-CN"/>
        </w:rPr>
        <w:t>第八条</w:t>
      </w:r>
      <w:r>
        <w:rPr>
          <w:rFonts w:hint="eastAsia" w:eastAsia="仿宋_GB2312"/>
          <w:color w:val="auto"/>
          <w:sz w:val="32"/>
          <w:szCs w:val="32"/>
          <w:lang w:val="en-US" w:eastAsia="zh-CN"/>
        </w:rPr>
        <w:t xml:space="preserve">  引进外国专家项目资助标准为：</w:t>
      </w:r>
      <w:r>
        <w:rPr>
          <w:spacing w:val="5"/>
        </w:rPr>
        <w:t>国际旅费用于外国专家往</w:t>
      </w:r>
      <w:r>
        <w:rPr>
          <w:spacing w:val="-5"/>
        </w:rPr>
        <w:t>返经济舱国际机票费用或其他交通费用</w:t>
      </w:r>
      <w:r>
        <w:rPr>
          <w:rFonts w:hint="eastAsia"/>
          <w:spacing w:val="-2"/>
          <w:w w:val="100"/>
          <w:lang w:val="en-US" w:eastAsia="zh-CN"/>
        </w:rPr>
        <w:t>；</w:t>
      </w:r>
      <w:r>
        <w:rPr>
          <w:spacing w:val="-3"/>
          <w:w w:val="100"/>
        </w:rPr>
        <w:t>专家零用费是</w:t>
      </w:r>
      <w:r>
        <w:rPr>
          <w:spacing w:val="5"/>
        </w:rPr>
        <w:t>指资助不支付工薪报酬的专家在</w:t>
      </w:r>
      <w:r>
        <w:rPr>
          <w:rFonts w:hint="eastAsia"/>
          <w:spacing w:val="5"/>
          <w:lang w:val="en-US" w:eastAsia="zh-CN"/>
        </w:rPr>
        <w:t>威</w:t>
      </w:r>
      <w:r>
        <w:rPr>
          <w:spacing w:val="5"/>
        </w:rPr>
        <w:t>工作期间用于个人的费用</w:t>
      </w:r>
      <w:r>
        <w:rPr>
          <w:spacing w:val="-12"/>
        </w:rPr>
        <w:t xml:space="preserve">补贴，资助标准为 </w:t>
      </w:r>
      <w:r>
        <w:t>200—300</w:t>
      </w:r>
      <w:r>
        <w:rPr>
          <w:spacing w:val="-42"/>
        </w:rPr>
        <w:t xml:space="preserve"> 元</w:t>
      </w:r>
      <w:r>
        <w:t>/</w:t>
      </w:r>
      <w:r>
        <w:rPr>
          <w:spacing w:val="-11"/>
        </w:rPr>
        <w:t>天</w:t>
      </w:r>
      <w:r>
        <w:rPr>
          <w:w w:val="100"/>
        </w:rPr>
        <w:t>（</w:t>
      </w:r>
      <w:r>
        <w:rPr>
          <w:rFonts w:hint="eastAsia"/>
          <w:w w:val="100"/>
          <w:lang w:val="en-US" w:eastAsia="zh-CN"/>
        </w:rPr>
        <w:t>本办法</w:t>
      </w:r>
      <w:r>
        <w:rPr>
          <w:spacing w:val="-2"/>
          <w:w w:val="100"/>
        </w:rPr>
        <w:t>所称货币单位为人民币</w:t>
      </w:r>
      <w:r>
        <w:rPr>
          <w:rFonts w:hint="eastAsia"/>
          <w:spacing w:val="-2"/>
          <w:w w:val="100"/>
          <w:lang w:val="en-US" w:eastAsia="zh-CN"/>
        </w:rPr>
        <w:t xml:space="preserve"> ）</w:t>
      </w:r>
      <w:r>
        <w:t>；专家生活费是指专家在</w:t>
      </w:r>
      <w:r>
        <w:rPr>
          <w:rFonts w:hint="eastAsia"/>
          <w:lang w:val="en-US" w:eastAsia="zh-CN"/>
        </w:rPr>
        <w:t>威</w:t>
      </w:r>
      <w:r>
        <w:t>工作期间的</w:t>
      </w:r>
      <w:r>
        <w:rPr>
          <w:spacing w:val="-18"/>
        </w:rPr>
        <w:t xml:space="preserve">住宿费、餐费、市内交通费、翻译费等，资助标准为 </w:t>
      </w:r>
      <w:r>
        <w:t>600</w:t>
      </w:r>
      <w:r>
        <w:rPr>
          <w:spacing w:val="-42"/>
        </w:rPr>
        <w:t xml:space="preserve"> 元</w:t>
      </w:r>
      <w:r>
        <w:t>/天；城市间交通</w:t>
      </w:r>
      <w:r>
        <w:rPr>
          <w:spacing w:val="5"/>
        </w:rPr>
        <w:t>费用于入（出）境口岸至</w:t>
      </w:r>
      <w:r>
        <w:rPr>
          <w:rFonts w:hint="eastAsia"/>
          <w:spacing w:val="5"/>
          <w:lang w:val="en-US" w:eastAsia="zh-CN"/>
        </w:rPr>
        <w:t>威海</w:t>
      </w:r>
      <w:r>
        <w:rPr>
          <w:spacing w:val="5"/>
        </w:rPr>
        <w:t>往返交通费，包括专家乘坐</w:t>
      </w:r>
      <w:r>
        <w:rPr>
          <w:spacing w:val="-1"/>
        </w:rPr>
        <w:t>飞机经济舱、火车等往返费用</w:t>
      </w:r>
      <w:r>
        <w:t>；专家</w:t>
      </w:r>
      <w:r>
        <w:rPr>
          <w:spacing w:val="5"/>
        </w:rPr>
        <w:t>工薪</w:t>
      </w:r>
      <w:r>
        <w:rPr>
          <w:rFonts w:hint="eastAsia"/>
          <w:spacing w:val="5"/>
          <w:lang w:eastAsia="zh-CN"/>
        </w:rPr>
        <w:t>的资助比例，最高不超过</w:t>
      </w:r>
      <w:r>
        <w:rPr>
          <w:spacing w:val="5"/>
        </w:rPr>
        <w:t>用人单位</w:t>
      </w:r>
      <w:r>
        <w:rPr>
          <w:rFonts w:hint="eastAsia"/>
          <w:spacing w:val="5"/>
          <w:lang w:val="en-US" w:eastAsia="zh-CN"/>
        </w:rPr>
        <w:t>实际支付给外国专家</w:t>
      </w:r>
      <w:r>
        <w:t>工薪或报酬</w:t>
      </w:r>
      <w:r>
        <w:rPr>
          <w:rFonts w:hint="eastAsia"/>
          <w:lang w:eastAsia="zh-CN"/>
        </w:rPr>
        <w:t>的</w:t>
      </w:r>
      <w:r>
        <w:rPr>
          <w:rFonts w:hint="eastAsia"/>
          <w:lang w:val="en-US" w:eastAsia="zh-CN"/>
        </w:rPr>
        <w:t>60%</w:t>
      </w:r>
      <w:r>
        <w:t>。</w:t>
      </w:r>
      <w:r>
        <w:rPr>
          <w:spacing w:val="-6"/>
        </w:rPr>
        <w:t>每个项目</w:t>
      </w:r>
      <w:r>
        <w:rPr>
          <w:rFonts w:hint="eastAsia"/>
          <w:spacing w:val="-6"/>
          <w:lang w:eastAsia="zh-CN"/>
        </w:rPr>
        <w:t>最高给予</w:t>
      </w:r>
      <w:r>
        <w:t>5</w:t>
      </w:r>
      <w:r>
        <w:rPr>
          <w:spacing w:val="-17"/>
        </w:rPr>
        <w:t xml:space="preserve"> 万元</w:t>
      </w:r>
      <w:r>
        <w:rPr>
          <w:rFonts w:hint="eastAsia"/>
          <w:spacing w:val="-17"/>
          <w:lang w:eastAsia="zh-CN"/>
        </w:rPr>
        <w:t>资助。</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eastAsia" w:eastAsia="仿宋_GB2312"/>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eastAsia="仿宋_GB2312"/>
          <w:color w:val="auto"/>
          <w:sz w:val="32"/>
          <w:szCs w:val="32"/>
          <w:lang w:val="en-US" w:eastAsia="zh-CN"/>
        </w:rPr>
        <w:t xml:space="preserve">  引智成果示范推广项目经费包括聘请外国专家、国外新品种和新技术引进、实验转化、示范推广宣传培训资料编印等相关费用。</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eastAsia="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引智成果示范推广项目根据示范推广成效、相关费用支出等情况，每个项目最高给予5万元资助，其中，聘请外国专家费用按照引进外国专家项目资助标准执行。</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第十一条</w:t>
      </w:r>
      <w:r>
        <w:rPr>
          <w:rFonts w:hint="eastAsia" w:eastAsia="仿宋_GB2312"/>
          <w:color w:val="auto"/>
          <w:sz w:val="32"/>
          <w:szCs w:val="32"/>
          <w:lang w:val="en-US" w:eastAsia="zh-CN"/>
        </w:rPr>
        <w:t xml:space="preserve"> 同一年度，同一单位同一项目，国家、省、市资金不重复资助。</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jc w:val="center"/>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leftChars="0" w:right="0"/>
        <w:jc w:val="center"/>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资金拨付</w:t>
      </w:r>
    </w:p>
    <w:p>
      <w:pPr>
        <w:pStyle w:val="2"/>
        <w:keepNext w:val="0"/>
        <w:keepLines w:val="0"/>
        <w:pageBreakBefore w:val="0"/>
        <w:widowControl w:val="0"/>
        <w:kinsoku/>
        <w:wordWrap/>
        <w:overflowPunct/>
        <w:topLinePunct w:val="0"/>
        <w:autoSpaceDE/>
        <w:autoSpaceDN/>
        <w:bidi w:val="0"/>
        <w:snapToGrid/>
        <w:spacing w:line="240" w:lineRule="auto"/>
        <w:ind w:left="0" w:right="0" w:firstLine="639"/>
        <w:jc w:val="both"/>
        <w:textAlignment w:val="auto"/>
        <w:rPr>
          <w:rFonts w:hint="default" w:ascii="仿宋" w:hAnsi="仿宋" w:eastAsia="仿宋" w:cs="仿宋"/>
          <w:lang w:val="en-US" w:eastAsia="zh-CN"/>
        </w:rPr>
      </w:pPr>
      <w:r>
        <w:rPr>
          <w:rFonts w:hint="eastAsia" w:ascii="黑体" w:hAnsi="黑体" w:eastAsia="黑体" w:cs="黑体"/>
          <w:lang w:val="en-US" w:eastAsia="zh-CN"/>
        </w:rPr>
        <w:t xml:space="preserve">第十二条 </w:t>
      </w:r>
      <w:r>
        <w:rPr>
          <w:rFonts w:hint="eastAsia" w:ascii="仿宋" w:hAnsi="仿宋" w:eastAsia="仿宋" w:cs="仿宋"/>
          <w:lang w:val="en-US" w:eastAsia="zh-CN"/>
        </w:rPr>
        <w:t>引智项目资金实行项目单位垫支，年终统一拨付的方式。</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eastAsia" w:eastAsia="仿宋_GB2312"/>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eastAsia="仿宋_GB2312"/>
          <w:color w:val="auto"/>
          <w:sz w:val="32"/>
          <w:szCs w:val="32"/>
          <w:lang w:val="en-US" w:eastAsia="zh-CN"/>
        </w:rPr>
        <w:t xml:space="preserve"> 项目单位应确保项目已执行，符合经费资助标准，予以核销的经费数额最高为5万元，不足5万元的按实际发生费用核销。</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eastAsia" w:eastAsia="仿宋_GB2312"/>
          <w:color w:val="auto"/>
          <w:sz w:val="32"/>
          <w:szCs w:val="32"/>
          <w:lang w:val="en-US" w:eastAsia="zh-CN"/>
        </w:rPr>
      </w:pPr>
      <w:r>
        <w:rPr>
          <w:rFonts w:hint="eastAsia" w:ascii="黑体" w:hAnsi="黑体" w:eastAsia="黑体" w:cs="黑体"/>
          <w:color w:val="auto"/>
          <w:sz w:val="32"/>
          <w:szCs w:val="32"/>
          <w:lang w:val="en-US" w:eastAsia="zh-CN"/>
        </w:rPr>
        <w:t>第十四条</w:t>
      </w:r>
      <w:r>
        <w:rPr>
          <w:rFonts w:hint="eastAsia" w:eastAsia="仿宋_GB2312"/>
          <w:color w:val="auto"/>
          <w:sz w:val="32"/>
          <w:szCs w:val="32"/>
          <w:lang w:val="en-US" w:eastAsia="zh-CN"/>
        </w:rPr>
        <w:t xml:space="preserve"> 项目单位向各区市科技部门或市直主管部门（单位）提交以下材料：</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sz w:val="32"/>
          <w:szCs w:val="32"/>
        </w:rPr>
        <w:t>（一）承担引进外国专家项目的，应当提交</w:t>
      </w:r>
      <w:r>
        <w:rPr>
          <w:rFonts w:hint="eastAsia" w:ascii="仿宋" w:hAnsi="仿宋" w:eastAsia="仿宋" w:cs="仿宋"/>
          <w:color w:val="auto"/>
          <w:sz w:val="32"/>
          <w:szCs w:val="32"/>
        </w:rPr>
        <w:t>项目</w:t>
      </w:r>
      <w:r>
        <w:rPr>
          <w:rFonts w:hint="eastAsia" w:ascii="仿宋" w:hAnsi="仿宋" w:eastAsia="仿宋" w:cs="仿宋"/>
          <w:sz w:val="32"/>
          <w:szCs w:val="32"/>
        </w:rPr>
        <w:t>绩效评估报告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项目费用决算表，</w:t>
      </w:r>
      <w:r>
        <w:rPr>
          <w:rFonts w:hint="eastAsia" w:ascii="仿宋" w:hAnsi="仿宋" w:eastAsia="仿宋" w:cs="仿宋"/>
          <w:sz w:val="32"/>
          <w:szCs w:val="32"/>
        </w:rPr>
        <w:t>专家护照个人信息页和出入境签章页复印件</w:t>
      </w:r>
      <w:r>
        <w:rPr>
          <w:rFonts w:hint="eastAsia" w:ascii="仿宋" w:hAnsi="仿宋" w:eastAsia="仿宋" w:cs="仿宋"/>
          <w:sz w:val="32"/>
          <w:szCs w:val="32"/>
          <w:lang w:eastAsia="zh-CN"/>
        </w:rPr>
        <w:t>，</w:t>
      </w:r>
      <w:r>
        <w:rPr>
          <w:rFonts w:hint="eastAsia" w:ascii="仿宋" w:hAnsi="仿宋" w:eastAsia="仿宋" w:cs="仿宋"/>
          <w:sz w:val="32"/>
          <w:szCs w:val="32"/>
        </w:rPr>
        <w:t>往返国际旅费、专家零用费、专家生活费、城市间交通费等支付凭证。申请专家工薪的，</w:t>
      </w:r>
      <w:r>
        <w:rPr>
          <w:rFonts w:hint="eastAsia" w:ascii="仿宋" w:hAnsi="仿宋" w:eastAsia="仿宋" w:cs="仿宋"/>
          <w:sz w:val="32"/>
          <w:szCs w:val="32"/>
          <w:lang w:val="en-US" w:eastAsia="zh-CN"/>
        </w:rPr>
        <w:t>还应提交专家工薪支付合同、专家签收凭证和工薪发放凭证。</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eastAsia" w:ascii="仿宋" w:hAnsi="仿宋" w:eastAsia="仿宋" w:cs="仿宋"/>
          <w:color w:val="FF0000"/>
          <w:sz w:val="32"/>
          <w:szCs w:val="32"/>
          <w:lang w:val="en-US" w:eastAsia="zh-CN"/>
        </w:rPr>
      </w:pPr>
      <w:r>
        <w:rPr>
          <w:rFonts w:hint="eastAsia" w:ascii="仿宋" w:hAnsi="仿宋" w:eastAsia="仿宋" w:cs="仿宋"/>
          <w:color w:val="auto"/>
          <w:sz w:val="32"/>
          <w:szCs w:val="32"/>
          <w:lang w:val="en-US" w:eastAsia="zh-CN"/>
        </w:rPr>
        <w:t>（二）承担引智成果示范推广项目的，</w:t>
      </w:r>
      <w:r>
        <w:rPr>
          <w:rFonts w:hint="eastAsia" w:ascii="仿宋" w:hAnsi="仿宋" w:eastAsia="仿宋" w:cs="仿宋"/>
          <w:sz w:val="32"/>
          <w:szCs w:val="32"/>
        </w:rPr>
        <w:t>应当提交绩效评估报告、项目费用决算表、支付新技术新品种引进、试验转化、</w:t>
      </w:r>
      <w:r>
        <w:rPr>
          <w:rFonts w:hint="eastAsia" w:ascii="仿宋" w:hAnsi="仿宋" w:eastAsia="仿宋" w:cs="仿宋"/>
          <w:color w:val="auto"/>
          <w:sz w:val="32"/>
          <w:szCs w:val="32"/>
        </w:rPr>
        <w:t>示范推广</w:t>
      </w:r>
      <w:r>
        <w:rPr>
          <w:rFonts w:hint="eastAsia" w:ascii="仿宋" w:hAnsi="仿宋" w:eastAsia="仿宋" w:cs="仿宋"/>
          <w:color w:val="auto"/>
          <w:sz w:val="32"/>
          <w:szCs w:val="32"/>
          <w:lang w:val="en-US" w:eastAsia="zh-CN"/>
        </w:rPr>
        <w:t>宣传</w:t>
      </w:r>
      <w:r>
        <w:rPr>
          <w:rFonts w:hint="eastAsia" w:ascii="仿宋" w:hAnsi="仿宋" w:eastAsia="仿宋" w:cs="仿宋"/>
          <w:sz w:val="32"/>
          <w:szCs w:val="32"/>
        </w:rPr>
        <w:t>培训资料编印等费用的票据复印件。聘请专家的，</w:t>
      </w:r>
      <w:r>
        <w:rPr>
          <w:rFonts w:hint="eastAsia" w:ascii="仿宋" w:hAnsi="仿宋" w:eastAsia="仿宋" w:cs="仿宋"/>
          <w:sz w:val="32"/>
          <w:szCs w:val="32"/>
          <w:lang w:eastAsia="zh-CN"/>
        </w:rPr>
        <w:t>按照引进外国专家项目应提交的材料进行报送</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snapToGrid/>
        <w:spacing w:before="56" w:line="240" w:lineRule="auto"/>
        <w:ind w:left="0" w:right="0" w:firstLine="640" w:firstLineChars="200"/>
        <w:jc w:val="both"/>
        <w:textAlignment w:val="auto"/>
        <w:rPr>
          <w:color w:val="auto"/>
        </w:rPr>
      </w:pPr>
      <w:r>
        <w:rPr>
          <w:rFonts w:hint="eastAsia" w:ascii="黑体" w:hAnsi="黑体" w:eastAsia="黑体" w:cs="黑体"/>
          <w:color w:val="auto"/>
          <w:sz w:val="32"/>
          <w:szCs w:val="32"/>
          <w:lang w:val="en-US" w:eastAsia="zh-CN"/>
        </w:rPr>
        <w:t>第十五条</w:t>
      </w:r>
      <w:r>
        <w:rPr>
          <w:rFonts w:hint="eastAsia" w:eastAsia="仿宋_GB2312"/>
          <w:color w:val="auto"/>
          <w:sz w:val="32"/>
          <w:szCs w:val="32"/>
          <w:lang w:val="en-US" w:eastAsia="zh-CN"/>
        </w:rPr>
        <w:t xml:space="preserve"> 各区市科技部门、市直主管部门（单位）</w:t>
      </w:r>
      <w:r>
        <w:rPr>
          <w:color w:val="auto"/>
        </w:rPr>
        <w:t>应当</w:t>
      </w:r>
      <w:r>
        <w:rPr>
          <w:rFonts w:hint="eastAsia"/>
          <w:color w:val="auto"/>
          <w:lang w:eastAsia="zh-CN"/>
        </w:rPr>
        <w:t>对项目单位提交的</w:t>
      </w:r>
      <w:r>
        <w:rPr>
          <w:color w:val="auto"/>
        </w:rPr>
        <w:t>材料</w:t>
      </w:r>
      <w:r>
        <w:rPr>
          <w:rFonts w:hint="eastAsia"/>
          <w:color w:val="auto"/>
          <w:lang w:eastAsia="zh-CN"/>
        </w:rPr>
        <w:t>进行审核把关，并对真实性、合法性负责，</w:t>
      </w:r>
      <w:r>
        <w:rPr>
          <w:color w:val="auto"/>
        </w:rPr>
        <w:t>提出</w:t>
      </w:r>
      <w:r>
        <w:rPr>
          <w:rFonts w:hint="eastAsia"/>
          <w:color w:val="auto"/>
          <w:lang w:eastAsia="zh-CN"/>
        </w:rPr>
        <w:t>审核</w:t>
      </w:r>
      <w:r>
        <w:rPr>
          <w:color w:val="auto"/>
        </w:rPr>
        <w:t>意见，报市</w:t>
      </w:r>
      <w:r>
        <w:rPr>
          <w:rFonts w:hint="eastAsia"/>
          <w:color w:val="auto"/>
          <w:lang w:val="en-US" w:eastAsia="zh-CN"/>
        </w:rPr>
        <w:t>科技局</w:t>
      </w:r>
      <w:r>
        <w:rPr>
          <w:color w:val="auto"/>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240" w:lineRule="auto"/>
        <w:ind w:left="0" w:right="0" w:firstLine="640" w:firstLineChars="200"/>
        <w:jc w:val="both"/>
        <w:textAlignment w:val="auto"/>
        <w:rPr>
          <w:rFonts w:hint="default" w:eastAsia="仿宋_GB2312"/>
          <w:color w:val="auto"/>
          <w:sz w:val="32"/>
          <w:szCs w:val="32"/>
          <w:lang w:val="en-US" w:eastAsia="zh-CN"/>
        </w:rPr>
      </w:pPr>
      <w:r>
        <w:rPr>
          <w:rFonts w:hint="eastAsia" w:ascii="黑体" w:hAnsi="黑体" w:eastAsia="黑体" w:cs="黑体"/>
          <w:color w:val="auto"/>
          <w:sz w:val="32"/>
          <w:szCs w:val="32"/>
          <w:lang w:val="en-US" w:eastAsia="zh-CN"/>
        </w:rPr>
        <w:t>第十六条</w:t>
      </w:r>
      <w:r>
        <w:rPr>
          <w:rFonts w:hint="eastAsia" w:eastAsia="仿宋_GB2312"/>
          <w:color w:val="auto"/>
          <w:sz w:val="32"/>
          <w:szCs w:val="32"/>
          <w:lang w:val="en-US" w:eastAsia="zh-CN"/>
        </w:rPr>
        <w:t xml:space="preserve"> 市科技局组织对项目执行情况进行考察，考察无异议的，下达引智项目资助计划，按财政拨付体系拨付资金。</w:t>
      </w:r>
    </w:p>
    <w:p>
      <w:pPr>
        <w:pStyle w:val="2"/>
        <w:keepNext w:val="0"/>
        <w:keepLines w:val="0"/>
        <w:pageBreakBefore w:val="0"/>
        <w:widowControl w:val="0"/>
        <w:kinsoku/>
        <w:wordWrap/>
        <w:overflowPunct/>
        <w:topLinePunct w:val="0"/>
        <w:autoSpaceDE/>
        <w:autoSpaceDN/>
        <w:bidi w:val="0"/>
        <w:snapToGrid/>
        <w:spacing w:before="3" w:line="240" w:lineRule="auto"/>
        <w:ind w:right="0" w:firstLine="640" w:firstLineChars="200"/>
        <w:jc w:val="both"/>
        <w:textAlignment w:val="auto"/>
        <w:rPr>
          <w:rFonts w:hint="default"/>
          <w:spacing w:val="-1"/>
          <w:w w:val="100"/>
          <w:lang w:val="en-US"/>
        </w:rPr>
      </w:pPr>
      <w:r>
        <w:rPr>
          <w:rFonts w:hint="eastAsia" w:ascii="黑体" w:hAnsi="黑体" w:eastAsia="黑体" w:cs="黑体"/>
          <w:lang w:val="en-US" w:eastAsia="zh-CN"/>
        </w:rPr>
        <w:t>第十七条</w:t>
      </w:r>
      <w:r>
        <w:rPr>
          <w:rFonts w:hint="eastAsia"/>
          <w:lang w:val="en-US" w:eastAsia="zh-CN"/>
        </w:rPr>
        <w:t xml:space="preserve"> 引智项目资金拨付后，因特殊原因未使用的，按财政渠道予以收回。</w:t>
      </w:r>
    </w:p>
    <w:p>
      <w:pPr>
        <w:pStyle w:val="2"/>
        <w:keepNext w:val="0"/>
        <w:keepLines w:val="0"/>
        <w:pageBreakBefore w:val="0"/>
        <w:widowControl w:val="0"/>
        <w:kinsoku/>
        <w:wordWrap/>
        <w:overflowPunct/>
        <w:topLinePunct w:val="0"/>
        <w:autoSpaceDE/>
        <w:autoSpaceDN/>
        <w:bidi w:val="0"/>
        <w:snapToGrid/>
        <w:spacing w:before="3" w:line="240" w:lineRule="auto"/>
        <w:ind w:left="0" w:right="0"/>
        <w:jc w:val="both"/>
        <w:textAlignment w:val="auto"/>
        <w:rPr>
          <w:spacing w:val="-1"/>
          <w:w w:val="100"/>
        </w:rPr>
      </w:pPr>
    </w:p>
    <w:p>
      <w:pPr>
        <w:pStyle w:val="2"/>
        <w:keepNext w:val="0"/>
        <w:keepLines w:val="0"/>
        <w:pageBreakBefore w:val="0"/>
        <w:widowControl w:val="0"/>
        <w:numPr>
          <w:ilvl w:val="0"/>
          <w:numId w:val="0"/>
        </w:numPr>
        <w:kinsoku/>
        <w:wordWrap/>
        <w:overflowPunct/>
        <w:topLinePunct w:val="0"/>
        <w:autoSpaceDE/>
        <w:autoSpaceDN/>
        <w:bidi w:val="0"/>
        <w:snapToGrid/>
        <w:spacing w:before="3" w:line="240" w:lineRule="auto"/>
        <w:ind w:right="0" w:rightChars="0"/>
        <w:jc w:val="center"/>
        <w:textAlignment w:val="auto"/>
        <w:rPr>
          <w:rFonts w:hint="eastAsia" w:ascii="黑体" w:hAnsi="黑体" w:eastAsia="黑体" w:cs="黑体"/>
          <w:spacing w:val="-1"/>
          <w:w w:val="100"/>
          <w:lang w:val="en-US" w:eastAsia="zh-CN"/>
        </w:rPr>
      </w:pPr>
      <w:r>
        <w:rPr>
          <w:rFonts w:hint="eastAsia" w:ascii="黑体" w:hAnsi="黑体" w:eastAsia="黑体" w:cs="黑体"/>
          <w:spacing w:val="-1"/>
          <w:w w:val="100"/>
          <w:lang w:val="en-US" w:eastAsia="zh-CN"/>
        </w:rPr>
        <w:t>第五章  监督管理</w:t>
      </w:r>
    </w:p>
    <w:p>
      <w:pPr>
        <w:keepNext w:val="0"/>
        <w:keepLines w:val="0"/>
        <w:pageBreakBefore w:val="0"/>
        <w:widowControl w:val="0"/>
        <w:kinsoku/>
        <w:wordWrap/>
        <w:overflowPunct/>
        <w:topLinePunct w:val="0"/>
        <w:autoSpaceDE/>
        <w:autoSpaceDN/>
        <w:bidi w:val="0"/>
        <w:adjustRightInd/>
        <w:snapToGrid/>
        <w:spacing w:line="240" w:lineRule="auto"/>
        <w:ind w:left="0" w:right="0" w:firstLine="416" w:firstLineChars="200"/>
        <w:jc w:val="both"/>
        <w:textAlignment w:val="auto"/>
        <w:outlineLvl w:val="9"/>
        <w:rPr>
          <w:rFonts w:eastAsia="仿宋_GB2312"/>
          <w:color w:val="FF0000"/>
          <w:sz w:val="32"/>
          <w:szCs w:val="32"/>
        </w:rPr>
      </w:pPr>
      <w:r>
        <w:rPr>
          <w:rFonts w:hint="eastAsia"/>
          <w:spacing w:val="-1"/>
          <w:w w:val="100"/>
          <w:lang w:val="en-US" w:eastAsia="zh-CN"/>
        </w:rPr>
        <w:t xml:space="preserve">  </w:t>
      </w:r>
      <w:r>
        <w:rPr>
          <w:rFonts w:hint="eastAsia" w:ascii="黑体" w:hAnsi="黑体" w:eastAsia="黑体" w:cs="黑体"/>
          <w:spacing w:val="5"/>
          <w:sz w:val="32"/>
          <w:szCs w:val="32"/>
        </w:rPr>
        <w:t>第十</w:t>
      </w:r>
      <w:r>
        <w:rPr>
          <w:rFonts w:hint="eastAsia" w:ascii="黑体" w:hAnsi="黑体" w:eastAsia="黑体" w:cs="黑体"/>
          <w:spacing w:val="5"/>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eastAsia="仿宋_GB2312"/>
          <w:color w:val="000000" w:themeColor="text1"/>
          <w:sz w:val="32"/>
          <w:szCs w:val="32"/>
          <w14:textFill>
            <w14:solidFill>
              <w14:schemeClr w14:val="tx1"/>
            </w14:solidFill>
          </w14:textFill>
        </w:rPr>
        <w:t>项目单位是引智</w:t>
      </w:r>
      <w:r>
        <w:rPr>
          <w:rFonts w:hint="eastAsia" w:eastAsia="仿宋_GB2312"/>
          <w:color w:val="000000" w:themeColor="text1"/>
          <w:sz w:val="32"/>
          <w:szCs w:val="32"/>
          <w:lang w:val="en-US" w:eastAsia="zh-CN"/>
          <w14:textFill>
            <w14:solidFill>
              <w14:schemeClr w14:val="tx1"/>
            </w14:solidFill>
          </w14:textFill>
        </w:rPr>
        <w:t>项目</w:t>
      </w:r>
      <w:r>
        <w:rPr>
          <w:rFonts w:hint="eastAsia" w:eastAsia="仿宋_GB2312"/>
          <w:color w:val="000000" w:themeColor="text1"/>
          <w:sz w:val="32"/>
          <w:szCs w:val="32"/>
          <w14:textFill>
            <w14:solidFill>
              <w14:schemeClr w14:val="tx1"/>
            </w14:solidFill>
          </w14:textFill>
        </w:rPr>
        <w:t>资金管理使用的责任主体，须将引智</w:t>
      </w:r>
      <w:r>
        <w:rPr>
          <w:rFonts w:hint="eastAsia" w:eastAsia="仿宋_GB2312"/>
          <w:color w:val="000000" w:themeColor="text1"/>
          <w:sz w:val="32"/>
          <w:szCs w:val="32"/>
          <w:lang w:val="en-US" w:eastAsia="zh-CN"/>
          <w14:textFill>
            <w14:solidFill>
              <w14:schemeClr w14:val="tx1"/>
            </w14:solidFill>
          </w14:textFill>
        </w:rPr>
        <w:t>项目</w:t>
      </w:r>
      <w:r>
        <w:rPr>
          <w:rFonts w:hint="eastAsia" w:eastAsia="仿宋_GB2312"/>
          <w:color w:val="000000" w:themeColor="text1"/>
          <w:sz w:val="32"/>
          <w:szCs w:val="32"/>
          <w14:textFill>
            <w14:solidFill>
              <w14:schemeClr w14:val="tx1"/>
            </w14:solidFill>
          </w14:textFill>
        </w:rPr>
        <w:t>资金纳入本单位财务统一管理，严格执行相关法规政策和财务规定，完善内部财务管理</w:t>
      </w:r>
      <w:r>
        <w:rPr>
          <w:rFonts w:hint="eastAsia" w:eastAsia="仿宋_GB2312"/>
          <w:color w:val="000000" w:themeColor="text1"/>
          <w:sz w:val="32"/>
          <w:szCs w:val="32"/>
          <w:lang w:val="en-US" w:eastAsia="zh-CN"/>
          <w14:textFill>
            <w14:solidFill>
              <w14:schemeClr w14:val="tx1"/>
            </w14:solidFill>
          </w14:textFill>
        </w:rPr>
        <w:t>制度</w:t>
      </w:r>
      <w:r>
        <w:rPr>
          <w:rFonts w:hint="eastAsia" w:eastAsia="仿宋_GB2312"/>
          <w:color w:val="000000" w:themeColor="text1"/>
          <w:sz w:val="32"/>
          <w:szCs w:val="32"/>
          <w14:textFill>
            <w14:solidFill>
              <w14:schemeClr w14:val="tx1"/>
            </w14:solidFill>
          </w14:textFill>
        </w:rPr>
        <w:t>，对专项资金要单独建账，按项目核算，确保专款专用，提高资金使用的规范性和有效性</w:t>
      </w:r>
      <w:r>
        <w:rPr>
          <w:rFonts w:hint="eastAsia" w:eastAsia="仿宋_GB2312"/>
          <w:color w:val="000000" w:themeColor="text1"/>
          <w:sz w:val="32"/>
          <w:szCs w:val="32"/>
          <w:lang w:eastAsia="zh-CN"/>
          <w14:textFill>
            <w14:solidFill>
              <w14:schemeClr w14:val="tx1"/>
            </w14:solidFill>
          </w14:textFill>
        </w:rPr>
        <w:t>，</w:t>
      </w:r>
      <w:r>
        <w:rPr>
          <w:rFonts w:hint="eastAsia" w:ascii="仿宋" w:hAnsi="仿宋" w:eastAsia="仿宋" w:cs="仿宋"/>
          <w:sz w:val="32"/>
          <w:szCs w:val="32"/>
        </w:rPr>
        <w:t>并自觉接受监督</w:t>
      </w:r>
      <w:r>
        <w:rPr>
          <w:rFonts w:hint="eastAsia" w:ascii="仿宋" w:hAnsi="仿宋" w:eastAsia="仿宋" w:cs="仿宋"/>
          <w:sz w:val="32"/>
          <w:szCs w:val="32"/>
          <w:lang w:eastAsia="zh-CN"/>
        </w:rPr>
        <w:t>管理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hint="eastAsia" w:eastAsia="仿宋_GB2312"/>
          <w:color w:val="FF0000"/>
          <w:sz w:val="32"/>
          <w:szCs w:val="32"/>
          <w:lang w:val="en-US" w:eastAsia="zh-CN"/>
        </w:rPr>
      </w:pPr>
      <w:r>
        <w:rPr>
          <w:rFonts w:hint="eastAsia" w:ascii="黑体" w:eastAsia="黑体"/>
          <w:sz w:val="32"/>
          <w:szCs w:val="32"/>
        </w:rPr>
        <w:t>第十</w:t>
      </w:r>
      <w:r>
        <w:rPr>
          <w:rFonts w:hint="eastAsia" w:ascii="黑体" w:eastAsia="黑体"/>
          <w:sz w:val="32"/>
          <w:szCs w:val="32"/>
          <w:lang w:eastAsia="zh-CN"/>
        </w:rPr>
        <w:t>九</w:t>
      </w:r>
      <w:r>
        <w:rPr>
          <w:rFonts w:hint="eastAsia" w:ascii="黑体" w:eastAsia="黑体"/>
          <w:sz w:val="32"/>
          <w:szCs w:val="32"/>
        </w:rPr>
        <w:t xml:space="preserve">条 </w:t>
      </w:r>
      <w:r>
        <w:rPr>
          <w:rFonts w:hint="eastAsia" w:eastAsia="仿宋_GB2312"/>
          <w:color w:val="000000" w:themeColor="text1"/>
          <w:sz w:val="32"/>
          <w:szCs w:val="32"/>
          <w:lang w:val="en-US" w:eastAsia="zh-CN"/>
          <w14:textFill>
            <w14:solidFill>
              <w14:schemeClr w14:val="tx1"/>
            </w14:solidFill>
          </w14:textFill>
        </w:rPr>
        <w:t>科技部门</w:t>
      </w:r>
      <w:r>
        <w:rPr>
          <w:rFonts w:hint="eastAsia" w:eastAsia="仿宋_GB2312"/>
          <w:color w:val="000000" w:themeColor="text1"/>
          <w:sz w:val="32"/>
          <w:szCs w:val="32"/>
          <w14:textFill>
            <w14:solidFill>
              <w14:schemeClr w14:val="tx1"/>
            </w14:solidFill>
          </w14:textFill>
        </w:rPr>
        <w:t>要认真履行对引智</w:t>
      </w:r>
      <w:r>
        <w:rPr>
          <w:rFonts w:hint="eastAsia" w:eastAsia="仿宋_GB2312"/>
          <w:color w:val="000000" w:themeColor="text1"/>
          <w:sz w:val="32"/>
          <w:szCs w:val="32"/>
          <w:lang w:val="en-US" w:eastAsia="zh-CN"/>
          <w14:textFill>
            <w14:solidFill>
              <w14:schemeClr w14:val="tx1"/>
            </w14:solidFill>
          </w14:textFill>
        </w:rPr>
        <w:t>项目</w:t>
      </w:r>
      <w:r>
        <w:rPr>
          <w:rFonts w:hint="eastAsia" w:eastAsia="仿宋_GB2312"/>
          <w:color w:val="000000" w:themeColor="text1"/>
          <w:sz w:val="32"/>
          <w:szCs w:val="32"/>
          <w14:textFill>
            <w14:solidFill>
              <w14:schemeClr w14:val="tx1"/>
            </w14:solidFill>
          </w14:textFill>
        </w:rPr>
        <w:t>资金的日常监管职责，</w:t>
      </w:r>
      <w:r>
        <w:rPr>
          <w:rFonts w:hint="eastAsia" w:ascii="仿宋" w:hAnsi="仿宋" w:eastAsia="仿宋" w:cs="仿宋"/>
          <w:sz w:val="32"/>
          <w:szCs w:val="32"/>
        </w:rPr>
        <w:t>加强对</w:t>
      </w:r>
      <w:r>
        <w:rPr>
          <w:rFonts w:hint="eastAsia" w:ascii="仿宋" w:hAnsi="仿宋" w:eastAsia="仿宋" w:cs="仿宋"/>
          <w:sz w:val="32"/>
          <w:szCs w:val="32"/>
          <w:lang w:eastAsia="zh-CN"/>
        </w:rPr>
        <w:t>申报材料和</w:t>
      </w:r>
      <w:r>
        <w:rPr>
          <w:rFonts w:hint="eastAsia" w:ascii="仿宋" w:hAnsi="仿宋" w:eastAsia="仿宋" w:cs="仿宋"/>
          <w:sz w:val="32"/>
          <w:szCs w:val="32"/>
        </w:rPr>
        <w:t>项目</w:t>
      </w:r>
      <w:r>
        <w:rPr>
          <w:rFonts w:hint="eastAsia" w:ascii="仿宋" w:hAnsi="仿宋" w:eastAsia="仿宋" w:cs="仿宋"/>
          <w:sz w:val="32"/>
          <w:szCs w:val="32"/>
          <w:lang w:val="en-US" w:eastAsia="zh-CN"/>
        </w:rPr>
        <w:t>执行情况的</w:t>
      </w:r>
      <w:r>
        <w:rPr>
          <w:rFonts w:hint="eastAsia" w:ascii="仿宋" w:hAnsi="仿宋" w:eastAsia="仿宋" w:cs="仿宋"/>
          <w:sz w:val="32"/>
          <w:szCs w:val="32"/>
        </w:rPr>
        <w:t>的</w:t>
      </w:r>
      <w:r>
        <w:rPr>
          <w:rFonts w:hint="eastAsia" w:ascii="仿宋" w:hAnsi="仿宋" w:eastAsia="仿宋" w:cs="仿宋"/>
          <w:sz w:val="32"/>
          <w:szCs w:val="32"/>
          <w:lang w:eastAsia="zh-CN"/>
        </w:rPr>
        <w:t>核实</w:t>
      </w:r>
      <w:r>
        <w:rPr>
          <w:rFonts w:hint="eastAsia" w:ascii="仿宋" w:hAnsi="仿宋" w:eastAsia="仿宋" w:cs="仿宋"/>
          <w:sz w:val="32"/>
          <w:szCs w:val="32"/>
        </w:rPr>
        <w:t>工作，确保上报资料真实完整、准确及时；</w:t>
      </w:r>
      <w:r>
        <w:rPr>
          <w:rFonts w:hint="eastAsia" w:eastAsia="仿宋_GB2312"/>
          <w:color w:val="000000" w:themeColor="text1"/>
          <w:sz w:val="32"/>
          <w:szCs w:val="32"/>
          <w14:textFill>
            <w14:solidFill>
              <w14:schemeClr w14:val="tx1"/>
            </w14:solidFill>
          </w14:textFill>
        </w:rPr>
        <w:t>完善经费管理制度，及时纠正问题、总结经验，确保经费使用合规。</w:t>
      </w:r>
    </w:p>
    <w:p>
      <w:pPr>
        <w:pStyle w:val="2"/>
        <w:keepNext w:val="0"/>
        <w:keepLines w:val="0"/>
        <w:pageBreakBefore w:val="0"/>
        <w:widowControl w:val="0"/>
        <w:tabs>
          <w:tab w:val="left" w:pos="2704"/>
        </w:tabs>
        <w:kinsoku/>
        <w:wordWrap/>
        <w:overflowPunct/>
        <w:topLinePunct w:val="0"/>
        <w:autoSpaceDE/>
        <w:autoSpaceDN/>
        <w:bidi w:val="0"/>
        <w:snapToGrid/>
        <w:spacing w:line="240" w:lineRule="auto"/>
        <w:ind w:left="0" w:right="0" w:firstLine="640" w:firstLineChars="200"/>
        <w:jc w:val="both"/>
        <w:textAlignment w:val="auto"/>
        <w:rPr>
          <w:rFonts w:hint="eastAsia" w:eastAsia="仿宋_GB2312"/>
          <w:color w:val="000000" w:themeColor="text1"/>
          <w:sz w:val="32"/>
          <w:szCs w:val="32"/>
          <w14:textFill>
            <w14:solidFill>
              <w14:schemeClr w14:val="tx1"/>
            </w14:solidFill>
          </w14:textFill>
        </w:rPr>
      </w:pPr>
      <w:r>
        <w:rPr>
          <w:rFonts w:hint="eastAsia" w:ascii="黑体" w:eastAsia="黑体"/>
        </w:rPr>
        <w:t>第</w:t>
      </w:r>
      <w:r>
        <w:rPr>
          <w:rFonts w:hint="eastAsia" w:ascii="黑体" w:eastAsia="黑体"/>
          <w:lang w:eastAsia="zh-CN"/>
        </w:rPr>
        <w:t>二</w:t>
      </w:r>
      <w:r>
        <w:rPr>
          <w:rFonts w:hint="eastAsia" w:ascii="黑体" w:eastAsia="黑体"/>
        </w:rPr>
        <w:t>十条</w:t>
      </w:r>
      <w:r>
        <w:rPr>
          <w:rFonts w:hint="eastAsia" w:ascii="黑体" w:eastAsia="黑体"/>
          <w:lang w:val="en-US" w:eastAsia="zh-CN"/>
        </w:rPr>
        <w:t xml:space="preserve"> </w:t>
      </w:r>
      <w:r>
        <w:rPr>
          <w:rFonts w:hint="eastAsia" w:ascii="仿宋_GB2312" w:hAnsi="仿宋_GB2312" w:eastAsia="仿宋_GB2312" w:cs="仿宋_GB2312"/>
          <w:lang w:val="en-US" w:eastAsia="zh-CN"/>
        </w:rPr>
        <w:t>引智项目资金要专款专用，</w:t>
      </w:r>
      <w:r>
        <w:rPr>
          <w:rFonts w:hint="eastAsia" w:cs="仿宋_GB2312"/>
          <w:lang w:val="en-US" w:eastAsia="zh-CN"/>
        </w:rPr>
        <w:t>不得擅自改变或扩大使用范围。</w:t>
      </w:r>
      <w:r>
        <w:rPr>
          <w:rFonts w:hint="eastAsia" w:eastAsia="仿宋_GB2312"/>
          <w:color w:val="000000" w:themeColor="text1"/>
          <w:sz w:val="32"/>
          <w:szCs w:val="32"/>
          <w14:textFill>
            <w14:solidFill>
              <w14:schemeClr w14:val="tx1"/>
            </w14:solidFill>
          </w14:textFill>
        </w:rPr>
        <w:t>凡违反规定扩大开支范围和提高支付标准，或提成、滞留、截留、挪用、虚列、骗取、私分引智</w:t>
      </w:r>
      <w:r>
        <w:rPr>
          <w:rFonts w:hint="eastAsia"/>
          <w:color w:val="000000" w:themeColor="text1"/>
          <w:sz w:val="32"/>
          <w:szCs w:val="32"/>
          <w:lang w:val="en-US" w:eastAsia="zh-CN"/>
          <w14:textFill>
            <w14:solidFill>
              <w14:schemeClr w14:val="tx1"/>
            </w14:solidFill>
          </w14:textFill>
        </w:rPr>
        <w:t>项目</w:t>
      </w:r>
      <w:r>
        <w:rPr>
          <w:rFonts w:hint="eastAsia" w:eastAsia="仿宋_GB2312"/>
          <w:color w:val="000000" w:themeColor="text1"/>
          <w:sz w:val="32"/>
          <w:szCs w:val="32"/>
          <w14:textFill>
            <w14:solidFill>
              <w14:schemeClr w14:val="tx1"/>
            </w14:solidFill>
          </w14:textFill>
        </w:rPr>
        <w:t>资金的，按照</w:t>
      </w:r>
      <w:r>
        <w:rPr>
          <w:rFonts w:hint="eastAsia"/>
          <w:color w:val="000000" w:themeColor="text1"/>
          <w:sz w:val="32"/>
          <w:szCs w:val="32"/>
          <w:lang w:val="en-US" w:eastAsia="zh-CN"/>
          <w14:textFill>
            <w14:solidFill>
              <w14:schemeClr w14:val="tx1"/>
            </w14:solidFill>
          </w14:textFill>
        </w:rPr>
        <w:t>有关</w:t>
      </w:r>
      <w:r>
        <w:rPr>
          <w:rFonts w:hint="eastAsia" w:eastAsia="仿宋_GB2312"/>
          <w:color w:val="000000" w:themeColor="text1"/>
          <w:sz w:val="32"/>
          <w:szCs w:val="32"/>
          <w14:textFill>
            <w14:solidFill>
              <w14:schemeClr w14:val="tx1"/>
            </w14:solidFill>
          </w14:textFill>
        </w:rPr>
        <w:t>规定追究相关人员责任。</w:t>
      </w:r>
    </w:p>
    <w:p>
      <w:pPr>
        <w:pStyle w:val="2"/>
        <w:keepNext w:val="0"/>
        <w:keepLines w:val="0"/>
        <w:pageBreakBefore w:val="0"/>
        <w:widowControl w:val="0"/>
        <w:tabs>
          <w:tab w:val="left" w:pos="2704"/>
        </w:tabs>
        <w:kinsoku/>
        <w:wordWrap/>
        <w:overflowPunct/>
        <w:topLinePunct w:val="0"/>
        <w:autoSpaceDE/>
        <w:autoSpaceDN/>
        <w:bidi w:val="0"/>
        <w:snapToGrid/>
        <w:spacing w:line="240" w:lineRule="auto"/>
        <w:ind w:left="0" w:right="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pStyle w:val="2"/>
        <w:keepNext w:val="0"/>
        <w:keepLines w:val="0"/>
        <w:pageBreakBefore w:val="0"/>
        <w:widowControl w:val="0"/>
        <w:tabs>
          <w:tab w:val="left" w:pos="2704"/>
        </w:tabs>
        <w:kinsoku/>
        <w:wordWrap/>
        <w:overflowPunct/>
        <w:topLinePunct w:val="0"/>
        <w:autoSpaceDE/>
        <w:autoSpaceDN/>
        <w:bidi w:val="0"/>
        <w:snapToGrid/>
        <w:spacing w:line="240" w:lineRule="auto"/>
        <w:ind w:left="0" w:right="0"/>
        <w:jc w:val="center"/>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第六章  附则</w:t>
      </w:r>
    </w:p>
    <w:p>
      <w:pPr>
        <w:pStyle w:val="2"/>
        <w:keepNext w:val="0"/>
        <w:keepLines w:val="0"/>
        <w:pageBreakBefore w:val="0"/>
        <w:widowControl w:val="0"/>
        <w:numPr>
          <w:ilvl w:val="0"/>
          <w:numId w:val="0"/>
        </w:numPr>
        <w:kinsoku/>
        <w:wordWrap/>
        <w:overflowPunct/>
        <w:topLinePunct w:val="0"/>
        <w:autoSpaceDE/>
        <w:autoSpaceDN/>
        <w:bidi w:val="0"/>
        <w:snapToGrid/>
        <w:spacing w:before="3" w:line="240" w:lineRule="auto"/>
        <w:ind w:left="0" w:right="0" w:rightChars="0" w:firstLine="632"/>
        <w:jc w:val="both"/>
        <w:textAlignment w:val="auto"/>
        <w:rPr>
          <w:rFonts w:hint="eastAsia"/>
          <w:spacing w:val="-1"/>
          <w:w w:val="100"/>
          <w:lang w:val="en-US" w:eastAsia="zh-CN"/>
        </w:rPr>
      </w:pPr>
      <w:r>
        <w:rPr>
          <w:rFonts w:hint="eastAsia" w:ascii="黑体" w:hAnsi="黑体" w:eastAsia="黑体" w:cs="黑体"/>
          <w:spacing w:val="-1"/>
          <w:w w:val="100"/>
          <w:lang w:val="en-US" w:eastAsia="zh-CN"/>
        </w:rPr>
        <w:t>第二十一条</w:t>
      </w:r>
      <w:r>
        <w:rPr>
          <w:rFonts w:hint="eastAsia"/>
          <w:spacing w:val="-1"/>
          <w:w w:val="100"/>
          <w:lang w:val="en-US" w:eastAsia="zh-CN"/>
        </w:rPr>
        <w:t xml:space="preserve"> 本办法由市科技局负责解释。</w:t>
      </w:r>
    </w:p>
    <w:p>
      <w:pPr>
        <w:pStyle w:val="2"/>
        <w:numPr>
          <w:ilvl w:val="0"/>
          <w:numId w:val="0"/>
        </w:numPr>
        <w:spacing w:before="3" w:line="340" w:lineRule="auto"/>
        <w:ind w:right="270" w:rightChars="0" w:firstLine="632"/>
        <w:jc w:val="both"/>
        <w:rPr>
          <w:rFonts w:hint="default"/>
          <w:spacing w:val="-1"/>
          <w:w w:val="100"/>
          <w:lang w:val="en-US" w:eastAsia="zh-CN"/>
        </w:rPr>
      </w:pPr>
      <w:r>
        <w:rPr>
          <w:rFonts w:hint="eastAsia" w:ascii="黑体" w:hAnsi="黑体" w:eastAsia="黑体" w:cs="黑体"/>
          <w:spacing w:val="-1"/>
          <w:w w:val="100"/>
          <w:lang w:val="en-US" w:eastAsia="zh-CN"/>
        </w:rPr>
        <w:t>第二十二条</w:t>
      </w:r>
      <w:r>
        <w:rPr>
          <w:rFonts w:hint="eastAsia"/>
          <w:spacing w:val="-1"/>
          <w:w w:val="100"/>
          <w:lang w:val="en-US" w:eastAsia="zh-CN"/>
        </w:rPr>
        <w:t xml:space="preserve"> 本办法自印发之日起施行，有效期2年。</w:t>
      </w:r>
    </w:p>
    <w:p>
      <w:pPr>
        <w:numPr>
          <w:ilvl w:val="0"/>
          <w:numId w:val="0"/>
        </w:numPr>
        <w:jc w:val="both"/>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F965C"/>
    <w:multiLevelType w:val="singleLevel"/>
    <w:tmpl w:val="B6DF965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E0FE5"/>
    <w:rsid w:val="03C96441"/>
    <w:rsid w:val="04AA0B95"/>
    <w:rsid w:val="085B0F22"/>
    <w:rsid w:val="0A8F0DCF"/>
    <w:rsid w:val="0BEB5F93"/>
    <w:rsid w:val="0D4F6B36"/>
    <w:rsid w:val="0F6339AB"/>
    <w:rsid w:val="0F7E7FC3"/>
    <w:rsid w:val="10F641B8"/>
    <w:rsid w:val="12056E75"/>
    <w:rsid w:val="123878EE"/>
    <w:rsid w:val="124F4228"/>
    <w:rsid w:val="125F69D6"/>
    <w:rsid w:val="13250D81"/>
    <w:rsid w:val="13631BB3"/>
    <w:rsid w:val="140055DF"/>
    <w:rsid w:val="145E1D3A"/>
    <w:rsid w:val="15C01F21"/>
    <w:rsid w:val="161B118B"/>
    <w:rsid w:val="16A01F25"/>
    <w:rsid w:val="19DE56F0"/>
    <w:rsid w:val="1DCF58AA"/>
    <w:rsid w:val="202D02C7"/>
    <w:rsid w:val="21783BB8"/>
    <w:rsid w:val="22BE499C"/>
    <w:rsid w:val="22EA5151"/>
    <w:rsid w:val="24CA4769"/>
    <w:rsid w:val="24DF7504"/>
    <w:rsid w:val="26B632DF"/>
    <w:rsid w:val="2749019E"/>
    <w:rsid w:val="29080923"/>
    <w:rsid w:val="29B622FF"/>
    <w:rsid w:val="2A1378D2"/>
    <w:rsid w:val="2DAE5746"/>
    <w:rsid w:val="2F927AB0"/>
    <w:rsid w:val="2FD844AB"/>
    <w:rsid w:val="35CF5453"/>
    <w:rsid w:val="35D45106"/>
    <w:rsid w:val="362C28A5"/>
    <w:rsid w:val="3632102C"/>
    <w:rsid w:val="38063F05"/>
    <w:rsid w:val="38851231"/>
    <w:rsid w:val="3A7255FF"/>
    <w:rsid w:val="3BB2235A"/>
    <w:rsid w:val="3CD91279"/>
    <w:rsid w:val="3F2C291E"/>
    <w:rsid w:val="40EB1303"/>
    <w:rsid w:val="417D3874"/>
    <w:rsid w:val="41840265"/>
    <w:rsid w:val="426C4F2E"/>
    <w:rsid w:val="42E67649"/>
    <w:rsid w:val="458A4070"/>
    <w:rsid w:val="45EE15D0"/>
    <w:rsid w:val="4654197C"/>
    <w:rsid w:val="465D105D"/>
    <w:rsid w:val="48727AC8"/>
    <w:rsid w:val="4BCE0E9F"/>
    <w:rsid w:val="4C227163"/>
    <w:rsid w:val="4C720B92"/>
    <w:rsid w:val="4E7B5489"/>
    <w:rsid w:val="518C775C"/>
    <w:rsid w:val="57C640B1"/>
    <w:rsid w:val="58B77C4F"/>
    <w:rsid w:val="5CA10C76"/>
    <w:rsid w:val="61283FB8"/>
    <w:rsid w:val="649411A9"/>
    <w:rsid w:val="65367E41"/>
    <w:rsid w:val="66F34D1E"/>
    <w:rsid w:val="6B1E1895"/>
    <w:rsid w:val="6B466447"/>
    <w:rsid w:val="6F08661B"/>
    <w:rsid w:val="71602EA5"/>
    <w:rsid w:val="721F29AE"/>
    <w:rsid w:val="7374747E"/>
    <w:rsid w:val="73B0004A"/>
    <w:rsid w:val="791F1651"/>
    <w:rsid w:val="7A49629F"/>
    <w:rsid w:val="7FE76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2019-09-15T02:27:00Z</dcterms:created>
  <dc:creator>Administrator</dc:creator>
  <cp:lastModifiedBy>Administrator</cp:lastModifiedBy>
  <cp:lastPrinted>2019-09-30T09:27:00Z</cp:lastPrinted>
  <dcterms:modified xsi:type="dcterms:W3CDTF">2019-10-09T01:25:44Z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